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42" w:rsidRDefault="008E08D9">
      <w:bookmarkStart w:id="0" w:name="_GoBack"/>
      <w:bookmarkEnd w:id="0"/>
      <w:r w:rsidRPr="008E08D9">
        <w:rPr>
          <w:rFonts w:ascii="Cambria" w:eastAsia="MS Mincho" w:hAnsi="Cambria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D35693" wp14:editId="6EAD0E4E">
            <wp:simplePos x="0" y="0"/>
            <wp:positionH relativeFrom="margin">
              <wp:posOffset>2184400</wp:posOffset>
            </wp:positionH>
            <wp:positionV relativeFrom="margin">
              <wp:align>top</wp:align>
            </wp:positionV>
            <wp:extent cx="1174750" cy="1016000"/>
            <wp:effectExtent l="0" t="0" r="6350" b="0"/>
            <wp:wrapSquare wrapText="bothSides"/>
            <wp:docPr id="4" name="Picture 4" descr="G:\club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:\club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7142" w:rsidRDefault="00427142" w:rsidP="00427142"/>
    <w:p w:rsidR="008E08D9" w:rsidRDefault="00427142" w:rsidP="00427142">
      <w:pPr>
        <w:tabs>
          <w:tab w:val="left" w:pos="2710"/>
        </w:tabs>
      </w:pPr>
      <w:r>
        <w:tab/>
      </w:r>
    </w:p>
    <w:p w:rsidR="008E08D9" w:rsidRDefault="008E08D9" w:rsidP="008E08D9"/>
    <w:p w:rsidR="003E5D34" w:rsidRDefault="003E5D34" w:rsidP="000402AD">
      <w:pPr>
        <w:tabs>
          <w:tab w:val="left" w:pos="1170"/>
        </w:tabs>
        <w:rPr>
          <w:b/>
          <w:u w:val="single"/>
        </w:rPr>
      </w:pPr>
    </w:p>
    <w:p w:rsidR="003E5D34" w:rsidRPr="003E5D34" w:rsidRDefault="008E08D9" w:rsidP="003E5D34">
      <w:pPr>
        <w:tabs>
          <w:tab w:val="left" w:pos="1170"/>
        </w:tabs>
        <w:jc w:val="center"/>
        <w:rPr>
          <w:rFonts w:ascii="Arial" w:hAnsi="Arial" w:cs="Arial"/>
          <w:b/>
          <w:sz w:val="28"/>
          <w:szCs w:val="28"/>
        </w:rPr>
      </w:pPr>
      <w:r w:rsidRPr="003E5D34">
        <w:rPr>
          <w:rFonts w:ascii="Arial" w:hAnsi="Arial" w:cs="Arial"/>
          <w:b/>
          <w:sz w:val="28"/>
          <w:szCs w:val="28"/>
        </w:rPr>
        <w:t>PREVENION OF SEXUAL EXPLOITATIO</w:t>
      </w:r>
      <w:r w:rsidR="00F961EF" w:rsidRPr="003E5D34">
        <w:rPr>
          <w:rFonts w:ascii="Arial" w:hAnsi="Arial" w:cs="Arial"/>
          <w:b/>
          <w:sz w:val="28"/>
          <w:szCs w:val="28"/>
        </w:rPr>
        <w:t xml:space="preserve">N </w:t>
      </w:r>
      <w:r w:rsidR="00C96318" w:rsidRPr="003E5D34">
        <w:rPr>
          <w:rFonts w:ascii="Arial" w:hAnsi="Arial" w:cs="Arial"/>
          <w:b/>
          <w:sz w:val="28"/>
          <w:szCs w:val="28"/>
        </w:rPr>
        <w:t>AND ABUSE</w:t>
      </w:r>
    </w:p>
    <w:p w:rsidR="00B660E8" w:rsidRPr="003E5D34" w:rsidRDefault="003E5D34" w:rsidP="003E5D34">
      <w:pPr>
        <w:tabs>
          <w:tab w:val="left" w:pos="117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YOUTH </w:t>
      </w:r>
      <w:r w:rsidR="00C96318" w:rsidRPr="003E5D34">
        <w:rPr>
          <w:rFonts w:ascii="Arial" w:hAnsi="Arial" w:cs="Arial"/>
          <w:b/>
          <w:sz w:val="28"/>
          <w:szCs w:val="28"/>
        </w:rPr>
        <w:t>PEER EDUCATION</w:t>
      </w:r>
    </w:p>
    <w:p w:rsidR="003E5D34" w:rsidRDefault="003E5D34" w:rsidP="00B660E8">
      <w:pPr>
        <w:rPr>
          <w:b/>
          <w:u w:val="single"/>
        </w:rPr>
      </w:pPr>
    </w:p>
    <w:p w:rsidR="003E5D34" w:rsidRPr="00E81F91" w:rsidRDefault="003E5D34" w:rsidP="003E5D34">
      <w:pPr>
        <w:tabs>
          <w:tab w:val="left" w:pos="1170"/>
        </w:tabs>
        <w:jc w:val="center"/>
        <w:rPr>
          <w:b/>
          <w:sz w:val="28"/>
          <w:szCs w:val="28"/>
        </w:rPr>
      </w:pPr>
      <w:r w:rsidRPr="00E81F91">
        <w:rPr>
          <w:b/>
          <w:sz w:val="28"/>
          <w:szCs w:val="28"/>
        </w:rPr>
        <w:t>CONCEPT NOTE</w:t>
      </w:r>
    </w:p>
    <w:p w:rsidR="003E5D34" w:rsidRPr="00466C55" w:rsidRDefault="003E5D34" w:rsidP="003E5D34">
      <w:pPr>
        <w:rPr>
          <w:rFonts w:ascii="Arial" w:hAnsi="Arial" w:cs="Arial"/>
          <w:b/>
          <w:sz w:val="24"/>
          <w:szCs w:val="24"/>
        </w:rPr>
      </w:pPr>
      <w:r w:rsidRPr="00466C55">
        <w:rPr>
          <w:rFonts w:ascii="Arial" w:hAnsi="Arial" w:cs="Arial"/>
          <w:b/>
          <w:sz w:val="24"/>
          <w:szCs w:val="24"/>
        </w:rPr>
        <w:t>i. Project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6934"/>
      </w:tblGrid>
      <w:tr w:rsidR="003E5D34" w:rsidRPr="00466C55" w:rsidTr="00FB45C0">
        <w:tc>
          <w:tcPr>
            <w:tcW w:w="244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Project Name</w:t>
            </w:r>
          </w:p>
        </w:tc>
        <w:tc>
          <w:tcPr>
            <w:tcW w:w="712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  <w:lang w:val="en-GB"/>
              </w:rPr>
              <w:t>Prevention of Sexual Exploitation and Abuse (PSEA) in Eswatini</w:t>
            </w:r>
          </w:p>
        </w:tc>
      </w:tr>
      <w:tr w:rsidR="003E5D34" w:rsidRPr="00466C55" w:rsidTr="00FB45C0">
        <w:tc>
          <w:tcPr>
            <w:tcW w:w="244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Project Aim</w:t>
            </w:r>
          </w:p>
        </w:tc>
        <w:tc>
          <w:tcPr>
            <w:tcW w:w="712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Increase PSEA awareness and reporting of violations</w:t>
            </w:r>
          </w:p>
        </w:tc>
      </w:tr>
      <w:tr w:rsidR="003E5D34" w:rsidRPr="00466C55" w:rsidTr="00FB45C0">
        <w:tc>
          <w:tcPr>
            <w:tcW w:w="244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Project Objectives</w:t>
            </w:r>
          </w:p>
        </w:tc>
        <w:tc>
          <w:tcPr>
            <w:tcW w:w="7128" w:type="dxa"/>
          </w:tcPr>
          <w:p w:rsidR="003E5D34" w:rsidRPr="00466C55" w:rsidRDefault="003E5D34" w:rsidP="003E5D3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466C55">
              <w:rPr>
                <w:rFonts w:ascii="Arial" w:hAnsi="Arial" w:cs="Arial"/>
                <w:lang w:val="en-GB"/>
              </w:rPr>
              <w:t>Strengthen the capacity of peer educators to facilitate peer education sessions on PSEA</w:t>
            </w:r>
          </w:p>
          <w:p w:rsidR="003E5D34" w:rsidRPr="00466C55" w:rsidRDefault="003E5D34" w:rsidP="003E5D3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466C55">
              <w:rPr>
                <w:rFonts w:ascii="Arial" w:hAnsi="Arial" w:cs="Arial"/>
                <w:color w:val="000000"/>
                <w:lang w:val="en-GB"/>
              </w:rPr>
              <w:t>Increase awareness on PSEA through school and community peer education platforms and dialogues</w:t>
            </w:r>
          </w:p>
          <w:p w:rsidR="003E5D34" w:rsidRPr="00466C55" w:rsidRDefault="003E5D34" w:rsidP="003E5D3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466C55">
              <w:rPr>
                <w:rFonts w:ascii="Arial" w:hAnsi="Arial" w:cs="Arial"/>
                <w:color w:val="000000"/>
                <w:lang w:val="en-GB"/>
              </w:rPr>
              <w:t>Increase access to information on PSEA through the development and dissemination of IEC materials</w:t>
            </w:r>
          </w:p>
          <w:p w:rsidR="003E5D34" w:rsidRPr="00C04C40" w:rsidRDefault="003E5D34" w:rsidP="003E5D3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466C55">
              <w:rPr>
                <w:rFonts w:ascii="Arial" w:hAnsi="Arial" w:cs="Arial"/>
                <w:color w:val="000000"/>
                <w:lang w:val="en-GB"/>
              </w:rPr>
              <w:t xml:space="preserve">Strengthen reporting and referral systems </w:t>
            </w:r>
          </w:p>
          <w:p w:rsidR="003E5D34" w:rsidRPr="00466C55" w:rsidRDefault="003E5D34" w:rsidP="003E5D3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Evaluate project impact</w:t>
            </w:r>
          </w:p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D34" w:rsidRPr="00466C55" w:rsidTr="00FB45C0">
        <w:tc>
          <w:tcPr>
            <w:tcW w:w="244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 xml:space="preserve">Routine Project Indicators </w:t>
            </w:r>
          </w:p>
        </w:tc>
        <w:tc>
          <w:tcPr>
            <w:tcW w:w="712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1.</w:t>
            </w:r>
            <w:r w:rsidRPr="00466C55">
              <w:rPr>
                <w:rFonts w:ascii="Arial" w:hAnsi="Arial" w:cs="Arial"/>
                <w:sz w:val="24"/>
                <w:szCs w:val="24"/>
                <w:lang w:val="en-GB"/>
              </w:rPr>
              <w:t xml:space="preserve"> # of Peer educators trained </w:t>
            </w:r>
          </w:p>
          <w:p w:rsidR="003E5D34" w:rsidRPr="00466C55" w:rsidRDefault="003E5D34" w:rsidP="00FB45C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2. # of adolescen</w:t>
            </w:r>
            <w:r>
              <w:rPr>
                <w:rFonts w:ascii="Arial" w:hAnsi="Arial" w:cs="Arial"/>
                <w:sz w:val="24"/>
                <w:szCs w:val="24"/>
              </w:rPr>
              <w:t>ts and young people 10-14; 15-24</w:t>
            </w:r>
            <w:r w:rsidRPr="00466C55">
              <w:rPr>
                <w:rFonts w:ascii="Arial" w:hAnsi="Arial" w:cs="Arial"/>
                <w:sz w:val="24"/>
                <w:szCs w:val="24"/>
              </w:rPr>
              <w:t xml:space="preserve"> years) reached  </w:t>
            </w:r>
          </w:p>
          <w:p w:rsidR="003E5D34" w:rsidRPr="00466C55" w:rsidRDefault="003E5D34" w:rsidP="00FB45C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 xml:space="preserve">3. # </w:t>
            </w:r>
            <w:r w:rsidRPr="00466C55">
              <w:rPr>
                <w:rFonts w:ascii="Arial" w:hAnsi="Arial" w:cs="Arial"/>
                <w:sz w:val="24"/>
                <w:szCs w:val="24"/>
                <w:lang w:val="en-GB"/>
              </w:rPr>
              <w:t xml:space="preserve"> of Schools and communities reached</w:t>
            </w:r>
          </w:p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4. # of community members including parents/caregivers reached</w:t>
            </w:r>
          </w:p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 xml:space="preserve">5. # </w:t>
            </w:r>
            <w:r>
              <w:rPr>
                <w:rFonts w:ascii="Arial" w:hAnsi="Arial" w:cs="Arial"/>
                <w:sz w:val="24"/>
                <w:szCs w:val="24"/>
              </w:rPr>
              <w:t>of</w:t>
            </w:r>
            <w:r w:rsidRPr="00466C55">
              <w:rPr>
                <w:rFonts w:ascii="Arial" w:hAnsi="Arial" w:cs="Arial"/>
                <w:sz w:val="24"/>
                <w:szCs w:val="24"/>
              </w:rPr>
              <w:t xml:space="preserve"> IEC material developed and disseminated</w:t>
            </w:r>
          </w:p>
        </w:tc>
      </w:tr>
      <w:tr w:rsidR="003E5D34" w:rsidRPr="00466C55" w:rsidTr="00FB45C0">
        <w:tc>
          <w:tcPr>
            <w:tcW w:w="244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712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Nkilongo Constituency in the Lubombo Ref</w:t>
            </w:r>
          </w:p>
        </w:tc>
      </w:tr>
      <w:tr w:rsidR="003E5D34" w:rsidRPr="00466C55" w:rsidTr="00FB45C0">
        <w:tc>
          <w:tcPr>
            <w:tcW w:w="244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Project Period</w:t>
            </w:r>
          </w:p>
        </w:tc>
        <w:tc>
          <w:tcPr>
            <w:tcW w:w="712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September to December 2022</w:t>
            </w:r>
          </w:p>
        </w:tc>
      </w:tr>
      <w:tr w:rsidR="003E5D34" w:rsidRPr="00466C55" w:rsidTr="00FB45C0">
        <w:tc>
          <w:tcPr>
            <w:tcW w:w="244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Target Population</w:t>
            </w:r>
          </w:p>
        </w:tc>
        <w:tc>
          <w:tcPr>
            <w:tcW w:w="712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600 in and out-of-school adolescents and 300 parents and caregivers</w:t>
            </w:r>
          </w:p>
        </w:tc>
      </w:tr>
      <w:tr w:rsidR="003E5D34" w:rsidRPr="00466C55" w:rsidTr="00FB45C0">
        <w:tc>
          <w:tcPr>
            <w:tcW w:w="244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Implementing Partner</w:t>
            </w:r>
          </w:p>
        </w:tc>
        <w:tc>
          <w:tcPr>
            <w:tcW w:w="7128" w:type="dxa"/>
          </w:tcPr>
          <w:p w:rsidR="003E5D34" w:rsidRPr="00466C55" w:rsidRDefault="003E5D34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Super Buddies Club</w:t>
            </w:r>
          </w:p>
        </w:tc>
      </w:tr>
    </w:tbl>
    <w:p w:rsidR="003E5D34" w:rsidRPr="003E5D34" w:rsidRDefault="003E5D34" w:rsidP="00B660E8">
      <w:pPr>
        <w:rPr>
          <w:rFonts w:ascii="Arial" w:hAnsi="Arial" w:cs="Arial"/>
          <w:b/>
          <w:u w:val="single"/>
        </w:rPr>
      </w:pPr>
      <w:r w:rsidRPr="003E5D34">
        <w:rPr>
          <w:rFonts w:ascii="Arial" w:hAnsi="Arial" w:cs="Arial"/>
          <w:b/>
          <w:u w:val="single"/>
        </w:rPr>
        <w:lastRenderedPageBreak/>
        <w:t>PROJECT BACKGROUND</w:t>
      </w:r>
    </w:p>
    <w:p w:rsidR="003E5D34" w:rsidRDefault="003E5D34" w:rsidP="003E5D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81F91">
        <w:rPr>
          <w:rFonts w:ascii="Arial" w:hAnsi="Arial" w:cs="Arial"/>
          <w:sz w:val="24"/>
          <w:szCs w:val="24"/>
        </w:rPr>
        <w:t xml:space="preserve">Super Buddies Club will implement sexual exploitation and abuse at Nkilongo Inkhundla in the Lubombo region. </w:t>
      </w:r>
      <w:r>
        <w:rPr>
          <w:rFonts w:ascii="Arial" w:hAnsi="Arial" w:cs="Arial"/>
          <w:sz w:val="24"/>
          <w:szCs w:val="24"/>
        </w:rPr>
        <w:t xml:space="preserve">The project will </w:t>
      </w:r>
      <w:r w:rsidRPr="00E81F91">
        <w:rPr>
          <w:rFonts w:ascii="Arial" w:hAnsi="Arial" w:cs="Arial"/>
          <w:sz w:val="24"/>
          <w:szCs w:val="24"/>
        </w:rPr>
        <w:t xml:space="preserve">start by recruiting 6 peer educators who are based in the 3 communities where Super Buddies Club implementation program is located. The 3 communities are as follows: Mangwaneni, Mahlabaneni and Mndobandoba community. Each community </w:t>
      </w:r>
      <w:r>
        <w:rPr>
          <w:rFonts w:ascii="Arial" w:hAnsi="Arial" w:cs="Arial"/>
          <w:sz w:val="24"/>
          <w:szCs w:val="24"/>
        </w:rPr>
        <w:t>will be</w:t>
      </w:r>
      <w:r w:rsidRPr="00E81F91">
        <w:rPr>
          <w:rFonts w:ascii="Arial" w:hAnsi="Arial" w:cs="Arial"/>
          <w:sz w:val="24"/>
          <w:szCs w:val="24"/>
        </w:rPr>
        <w:t xml:space="preserve"> represent</w:t>
      </w:r>
      <w:r>
        <w:rPr>
          <w:rFonts w:ascii="Arial" w:hAnsi="Arial" w:cs="Arial"/>
          <w:sz w:val="24"/>
          <w:szCs w:val="24"/>
        </w:rPr>
        <w:t>ed by two</w:t>
      </w:r>
      <w:r w:rsidRPr="00E81F91">
        <w:rPr>
          <w:rFonts w:ascii="Arial" w:hAnsi="Arial" w:cs="Arial"/>
          <w:sz w:val="24"/>
          <w:szCs w:val="24"/>
        </w:rPr>
        <w:t xml:space="preserve"> peer educators of Super Buddies Club. </w:t>
      </w:r>
      <w:r w:rsidR="004D0754">
        <w:rPr>
          <w:rFonts w:ascii="Arial" w:hAnsi="Arial" w:cs="Arial"/>
          <w:sz w:val="24"/>
          <w:szCs w:val="24"/>
        </w:rPr>
        <w:t>The</w:t>
      </w:r>
      <w:r w:rsidRPr="00E81F91">
        <w:rPr>
          <w:rFonts w:ascii="Arial" w:hAnsi="Arial" w:cs="Arial"/>
          <w:sz w:val="24"/>
          <w:szCs w:val="24"/>
        </w:rPr>
        <w:t xml:space="preserve"> recruited peer educators will be trained on </w:t>
      </w:r>
      <w:r w:rsidR="004D0754">
        <w:rPr>
          <w:rFonts w:ascii="Arial" w:hAnsi="Arial" w:cs="Arial"/>
          <w:sz w:val="24"/>
          <w:szCs w:val="24"/>
        </w:rPr>
        <w:t>h</w:t>
      </w:r>
      <w:r w:rsidRPr="00E81F91">
        <w:rPr>
          <w:rFonts w:ascii="Arial" w:hAnsi="Arial" w:cs="Arial"/>
          <w:sz w:val="24"/>
          <w:szCs w:val="24"/>
        </w:rPr>
        <w:t xml:space="preserve">ow to </w:t>
      </w:r>
      <w:r>
        <w:rPr>
          <w:rFonts w:ascii="Arial" w:hAnsi="Arial" w:cs="Arial"/>
          <w:sz w:val="24"/>
          <w:szCs w:val="24"/>
        </w:rPr>
        <w:t xml:space="preserve">create awareness on PSEA, </w:t>
      </w:r>
      <w:r w:rsidRPr="00E81F91">
        <w:rPr>
          <w:rFonts w:ascii="Arial" w:hAnsi="Arial" w:cs="Arial"/>
          <w:sz w:val="24"/>
          <w:szCs w:val="24"/>
        </w:rPr>
        <w:t xml:space="preserve">receive community complaints and how </w:t>
      </w:r>
      <w:r>
        <w:rPr>
          <w:rFonts w:ascii="Arial" w:hAnsi="Arial" w:cs="Arial"/>
          <w:sz w:val="24"/>
          <w:szCs w:val="24"/>
        </w:rPr>
        <w:t xml:space="preserve">to link </w:t>
      </w:r>
      <w:r w:rsidRPr="00E81F91">
        <w:rPr>
          <w:rFonts w:ascii="Arial" w:hAnsi="Arial" w:cs="Arial"/>
          <w:sz w:val="24"/>
          <w:szCs w:val="24"/>
        </w:rPr>
        <w:t xml:space="preserve">PSEA with the Sexual Offenses and Domestic Violence Act (SODV 2018). </w:t>
      </w:r>
      <w:r>
        <w:rPr>
          <w:rFonts w:ascii="Arial" w:hAnsi="Arial" w:cs="Arial"/>
          <w:sz w:val="24"/>
          <w:szCs w:val="24"/>
        </w:rPr>
        <w:t>The</w:t>
      </w:r>
      <w:r w:rsidRPr="00E81F91">
        <w:rPr>
          <w:rFonts w:ascii="Arial" w:hAnsi="Arial" w:cs="Arial"/>
          <w:sz w:val="24"/>
          <w:szCs w:val="24"/>
        </w:rPr>
        <w:t xml:space="preserve"> training will also include 2 staff so that they are able to assi</w:t>
      </w:r>
      <w:r>
        <w:rPr>
          <w:rFonts w:ascii="Arial" w:hAnsi="Arial" w:cs="Arial"/>
          <w:sz w:val="24"/>
          <w:szCs w:val="24"/>
        </w:rPr>
        <w:t>sts peer educators in the field and also facilitate community dialogues.</w:t>
      </w:r>
    </w:p>
    <w:p w:rsidR="004D0754" w:rsidRDefault="004D0754" w:rsidP="003E5D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trained peer educators will then facilitate peer education sessions in 4 schools (two primary and two high schools) that are located within the 3 communities that will be reached through this project. The dialogues platforms will be used to reach out-of school adolescents and youth. </w:t>
      </w:r>
    </w:p>
    <w:p w:rsidR="004D0754" w:rsidRPr="00E81F91" w:rsidRDefault="004D0754" w:rsidP="003E5D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the sessions, peer educators will also document issues arising from the topics that will be covered </w:t>
      </w:r>
      <w:r w:rsidR="009F5F63">
        <w:rPr>
          <w:rFonts w:ascii="Arial" w:hAnsi="Arial" w:cs="Arial"/>
          <w:sz w:val="24"/>
          <w:szCs w:val="24"/>
        </w:rPr>
        <w:t>and challenges.</w:t>
      </w:r>
    </w:p>
    <w:p w:rsidR="00791196" w:rsidRPr="003E5D34" w:rsidRDefault="00D44B31" w:rsidP="002651A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E5D34">
        <w:rPr>
          <w:rFonts w:ascii="Arial" w:hAnsi="Arial" w:cs="Arial"/>
          <w:b/>
          <w:sz w:val="24"/>
          <w:szCs w:val="24"/>
          <w:u w:val="single"/>
        </w:rPr>
        <w:t>PURPOSE FOR FACILITATING SESSIONS</w:t>
      </w:r>
    </w:p>
    <w:p w:rsidR="004D0754" w:rsidRDefault="00337CCE" w:rsidP="00C96318">
      <w:pPr>
        <w:jc w:val="both"/>
        <w:rPr>
          <w:rFonts w:ascii="Arial" w:hAnsi="Arial" w:cs="Arial"/>
          <w:sz w:val="24"/>
          <w:szCs w:val="24"/>
        </w:rPr>
      </w:pPr>
      <w:r w:rsidRPr="003E5D34">
        <w:rPr>
          <w:rFonts w:ascii="Arial" w:hAnsi="Arial" w:cs="Arial"/>
          <w:sz w:val="24"/>
          <w:szCs w:val="24"/>
        </w:rPr>
        <w:t xml:space="preserve">To educate </w:t>
      </w:r>
      <w:r w:rsidR="00E006B6" w:rsidRPr="003E5D34">
        <w:rPr>
          <w:rFonts w:ascii="Arial" w:hAnsi="Arial" w:cs="Arial"/>
          <w:sz w:val="24"/>
          <w:szCs w:val="24"/>
        </w:rPr>
        <w:t xml:space="preserve">and raise awareness on </w:t>
      </w:r>
      <w:r w:rsidR="004D0754">
        <w:rPr>
          <w:rFonts w:ascii="Arial" w:hAnsi="Arial" w:cs="Arial"/>
          <w:sz w:val="24"/>
          <w:szCs w:val="24"/>
        </w:rPr>
        <w:t>PSEA among adolescents and young people in and out of school in order to increase the reporting of violations.</w:t>
      </w:r>
    </w:p>
    <w:p w:rsidR="00611B91" w:rsidRPr="003E5D34" w:rsidRDefault="004D0754" w:rsidP="00C9631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E5D3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11B91" w:rsidRPr="003E5D34">
        <w:rPr>
          <w:rFonts w:ascii="Arial" w:hAnsi="Arial" w:cs="Arial"/>
          <w:b/>
          <w:sz w:val="24"/>
          <w:szCs w:val="24"/>
          <w:u w:val="single"/>
        </w:rPr>
        <w:t>TARGET</w:t>
      </w:r>
    </w:p>
    <w:p w:rsidR="00E006B6" w:rsidRPr="003E5D34" w:rsidRDefault="00E006B6" w:rsidP="00C96318">
      <w:pPr>
        <w:jc w:val="both"/>
        <w:rPr>
          <w:rFonts w:ascii="Arial" w:hAnsi="Arial" w:cs="Arial"/>
          <w:sz w:val="24"/>
          <w:szCs w:val="24"/>
        </w:rPr>
      </w:pPr>
      <w:r w:rsidRPr="003E5D34">
        <w:rPr>
          <w:rFonts w:ascii="Arial" w:hAnsi="Arial" w:cs="Arial"/>
          <w:sz w:val="24"/>
          <w:szCs w:val="24"/>
        </w:rPr>
        <w:t>Young people from the age of 10</w:t>
      </w:r>
      <w:r w:rsidR="004D0754">
        <w:rPr>
          <w:rFonts w:ascii="Arial" w:hAnsi="Arial" w:cs="Arial"/>
          <w:sz w:val="24"/>
          <w:szCs w:val="24"/>
        </w:rPr>
        <w:t>-14 years and 15-</w:t>
      </w:r>
      <w:r w:rsidRPr="003E5D34">
        <w:rPr>
          <w:rFonts w:ascii="Arial" w:hAnsi="Arial" w:cs="Arial"/>
          <w:sz w:val="24"/>
          <w:szCs w:val="24"/>
        </w:rPr>
        <w:t xml:space="preserve">24 years </w:t>
      </w:r>
      <w:r w:rsidR="004D0754">
        <w:rPr>
          <w:rFonts w:ascii="Arial" w:hAnsi="Arial" w:cs="Arial"/>
          <w:sz w:val="24"/>
          <w:szCs w:val="24"/>
        </w:rPr>
        <w:t>(both males and females)</w:t>
      </w:r>
    </w:p>
    <w:p w:rsidR="00EB016A" w:rsidRPr="003E5D34" w:rsidRDefault="008262E4" w:rsidP="00C9631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E5D34">
        <w:rPr>
          <w:rFonts w:ascii="Arial" w:hAnsi="Arial" w:cs="Arial"/>
          <w:b/>
          <w:sz w:val="24"/>
          <w:szCs w:val="24"/>
          <w:u w:val="single"/>
        </w:rPr>
        <w:t>METHODOLOGY</w:t>
      </w:r>
    </w:p>
    <w:p w:rsidR="004D0754" w:rsidRDefault="004D0754" w:rsidP="00C963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peer educators facilitators module will be developed and use as a guide by the peer educators to facilitate sessions. To ensure understanding of the topics covered, the peer educators will also use role-plays and scenarios to engage the adolescents and young people in discussion on the topics.</w:t>
      </w:r>
    </w:p>
    <w:p w:rsidR="004D0754" w:rsidRPr="003E5D34" w:rsidRDefault="004D0754" w:rsidP="004D075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E5D34">
        <w:rPr>
          <w:rFonts w:ascii="Arial" w:hAnsi="Arial" w:cs="Arial"/>
          <w:b/>
          <w:sz w:val="24"/>
          <w:szCs w:val="24"/>
          <w:u w:val="single"/>
        </w:rPr>
        <w:t>DURATION</w:t>
      </w:r>
      <w:r>
        <w:rPr>
          <w:rFonts w:ascii="Arial" w:hAnsi="Arial" w:cs="Arial"/>
          <w:b/>
          <w:sz w:val="24"/>
          <w:szCs w:val="24"/>
          <w:u w:val="single"/>
        </w:rPr>
        <w:t xml:space="preserve"> OF SESSIONS</w:t>
      </w:r>
    </w:p>
    <w:p w:rsidR="004D0754" w:rsidRPr="003E5D34" w:rsidRDefault="004D0754" w:rsidP="004D07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sessions will take 1 hour </w:t>
      </w:r>
    </w:p>
    <w:p w:rsidR="000B1F3E" w:rsidRPr="003E5D34" w:rsidRDefault="000B1F3E" w:rsidP="00C9631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E5D34">
        <w:rPr>
          <w:rFonts w:ascii="Arial" w:hAnsi="Arial" w:cs="Arial"/>
          <w:b/>
          <w:sz w:val="24"/>
          <w:szCs w:val="24"/>
          <w:u w:val="single"/>
        </w:rPr>
        <w:t>OBJECTIVES</w:t>
      </w:r>
    </w:p>
    <w:p w:rsidR="004D0754" w:rsidRDefault="004D0754" w:rsidP="00C96318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Increase knowledge on PSEA and among adolescents and young people in and out of school</w:t>
      </w:r>
    </w:p>
    <w:p w:rsidR="00445444" w:rsidRDefault="004D0754" w:rsidP="00C96318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Increase the reporting of PSEA violations by adolescents and young people in and out of school</w:t>
      </w:r>
    </w:p>
    <w:p w:rsidR="009F5F63" w:rsidRDefault="009F5F63" w:rsidP="009F5F63">
      <w:pPr>
        <w:pStyle w:val="ListParagraph"/>
        <w:jc w:val="both"/>
        <w:rPr>
          <w:rFonts w:ascii="Arial" w:hAnsi="Arial" w:cs="Arial"/>
        </w:rPr>
      </w:pPr>
    </w:p>
    <w:p w:rsidR="009F5F63" w:rsidRPr="003E5D34" w:rsidRDefault="009F5F63" w:rsidP="009F5F63">
      <w:pPr>
        <w:pStyle w:val="ListParagraph"/>
        <w:jc w:val="both"/>
        <w:rPr>
          <w:rFonts w:ascii="Arial" w:hAnsi="Arial" w:cs="Arial"/>
        </w:rPr>
      </w:pPr>
    </w:p>
    <w:p w:rsidR="00450B67" w:rsidRPr="003E5D34" w:rsidRDefault="00450B67" w:rsidP="00C96318">
      <w:pPr>
        <w:pStyle w:val="ListParagraph"/>
        <w:jc w:val="both"/>
        <w:rPr>
          <w:rFonts w:ascii="Arial" w:hAnsi="Arial" w:cs="Arial"/>
          <w:b/>
          <w:u w:val="single"/>
        </w:rPr>
      </w:pPr>
    </w:p>
    <w:p w:rsidR="000B1F3E" w:rsidRPr="003E5D34" w:rsidRDefault="009F5F63" w:rsidP="00C9631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EXPECTED RESULTS</w:t>
      </w:r>
    </w:p>
    <w:p w:rsidR="00165E69" w:rsidRPr="003E5D34" w:rsidRDefault="009F5F63" w:rsidP="00C96318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Increased knowledge and awareness on PSEA among adolescents and youth in Nkilongo Constituency in the Lubombo Region of Eswatini</w:t>
      </w:r>
    </w:p>
    <w:p w:rsidR="005A6D2F" w:rsidRPr="003E5D34" w:rsidRDefault="009F5F63" w:rsidP="00C96318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Increased SEA cases reported by v</w:t>
      </w:r>
      <w:r w:rsidR="005A6D2F" w:rsidRPr="003E5D34">
        <w:rPr>
          <w:rFonts w:ascii="Arial" w:hAnsi="Arial" w:cs="Arial"/>
        </w:rPr>
        <w:t xml:space="preserve">ictims </w:t>
      </w:r>
      <w:r>
        <w:rPr>
          <w:rFonts w:ascii="Arial" w:hAnsi="Arial" w:cs="Arial"/>
        </w:rPr>
        <w:t>and referral to relevant structures for access to services</w:t>
      </w:r>
    </w:p>
    <w:sectPr w:rsidR="005A6D2F" w:rsidRPr="003E5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48" w:rsidRDefault="00A53748" w:rsidP="007503AC">
      <w:pPr>
        <w:spacing w:after="0" w:line="240" w:lineRule="auto"/>
      </w:pPr>
      <w:r>
        <w:separator/>
      </w:r>
    </w:p>
  </w:endnote>
  <w:endnote w:type="continuationSeparator" w:id="0">
    <w:p w:rsidR="00A53748" w:rsidRDefault="00A53748" w:rsidP="0075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48" w:rsidRDefault="00A53748" w:rsidP="007503AC">
      <w:pPr>
        <w:spacing w:after="0" w:line="240" w:lineRule="auto"/>
      </w:pPr>
      <w:r>
        <w:separator/>
      </w:r>
    </w:p>
  </w:footnote>
  <w:footnote w:type="continuationSeparator" w:id="0">
    <w:p w:rsidR="00A53748" w:rsidRDefault="00A53748" w:rsidP="00750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B16"/>
    <w:multiLevelType w:val="hybridMultilevel"/>
    <w:tmpl w:val="B6DE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58D3"/>
    <w:multiLevelType w:val="hybridMultilevel"/>
    <w:tmpl w:val="DDE0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23E29"/>
    <w:multiLevelType w:val="hybridMultilevel"/>
    <w:tmpl w:val="B51EE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A227E"/>
    <w:multiLevelType w:val="hybridMultilevel"/>
    <w:tmpl w:val="EC08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884"/>
    <w:multiLevelType w:val="hybridMultilevel"/>
    <w:tmpl w:val="06B4AA98"/>
    <w:lvl w:ilvl="0" w:tplc="1598B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E6E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8CB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EB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2E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EF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7C6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6D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C4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7870A4"/>
    <w:multiLevelType w:val="hybridMultilevel"/>
    <w:tmpl w:val="3F1A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57122"/>
    <w:multiLevelType w:val="hybridMultilevel"/>
    <w:tmpl w:val="EDA460B0"/>
    <w:lvl w:ilvl="0" w:tplc="979E2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F67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8F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6E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E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E5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0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44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2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42"/>
    <w:rsid w:val="00006234"/>
    <w:rsid w:val="00037297"/>
    <w:rsid w:val="000402AD"/>
    <w:rsid w:val="00040C70"/>
    <w:rsid w:val="00042333"/>
    <w:rsid w:val="000B1F3E"/>
    <w:rsid w:val="000C7C32"/>
    <w:rsid w:val="001000F5"/>
    <w:rsid w:val="001457E3"/>
    <w:rsid w:val="00165E69"/>
    <w:rsid w:val="00174725"/>
    <w:rsid w:val="001C0D6C"/>
    <w:rsid w:val="001C5CB3"/>
    <w:rsid w:val="002411C6"/>
    <w:rsid w:val="002650F0"/>
    <w:rsid w:val="002651A8"/>
    <w:rsid w:val="00337CCE"/>
    <w:rsid w:val="00345D81"/>
    <w:rsid w:val="00354B30"/>
    <w:rsid w:val="003678FB"/>
    <w:rsid w:val="00384F6D"/>
    <w:rsid w:val="00397293"/>
    <w:rsid w:val="003A3FB1"/>
    <w:rsid w:val="003E5D34"/>
    <w:rsid w:val="00427142"/>
    <w:rsid w:val="00445444"/>
    <w:rsid w:val="00450B67"/>
    <w:rsid w:val="00486C79"/>
    <w:rsid w:val="00491230"/>
    <w:rsid w:val="004D0754"/>
    <w:rsid w:val="00561C3E"/>
    <w:rsid w:val="005745F5"/>
    <w:rsid w:val="005A6D2F"/>
    <w:rsid w:val="005B08F9"/>
    <w:rsid w:val="00611B91"/>
    <w:rsid w:val="006164B2"/>
    <w:rsid w:val="00652EE8"/>
    <w:rsid w:val="006B6B08"/>
    <w:rsid w:val="006C0B07"/>
    <w:rsid w:val="007144B0"/>
    <w:rsid w:val="007503AC"/>
    <w:rsid w:val="00785B86"/>
    <w:rsid w:val="00791196"/>
    <w:rsid w:val="008262E4"/>
    <w:rsid w:val="008459B9"/>
    <w:rsid w:val="00864ADB"/>
    <w:rsid w:val="008E08D9"/>
    <w:rsid w:val="009144BD"/>
    <w:rsid w:val="00914A55"/>
    <w:rsid w:val="00950EA8"/>
    <w:rsid w:val="009C6B46"/>
    <w:rsid w:val="009F5F63"/>
    <w:rsid w:val="00A53748"/>
    <w:rsid w:val="00AD5A53"/>
    <w:rsid w:val="00B12231"/>
    <w:rsid w:val="00B2628D"/>
    <w:rsid w:val="00B37FF3"/>
    <w:rsid w:val="00B660E8"/>
    <w:rsid w:val="00B728E4"/>
    <w:rsid w:val="00BC480E"/>
    <w:rsid w:val="00BD4E5A"/>
    <w:rsid w:val="00BF5484"/>
    <w:rsid w:val="00C120EF"/>
    <w:rsid w:val="00C22863"/>
    <w:rsid w:val="00C96318"/>
    <w:rsid w:val="00CA7497"/>
    <w:rsid w:val="00CB24C0"/>
    <w:rsid w:val="00D02476"/>
    <w:rsid w:val="00D14A02"/>
    <w:rsid w:val="00D44B31"/>
    <w:rsid w:val="00D962CB"/>
    <w:rsid w:val="00DD7A78"/>
    <w:rsid w:val="00E006B6"/>
    <w:rsid w:val="00EB016A"/>
    <w:rsid w:val="00ED70D0"/>
    <w:rsid w:val="00EE6B8C"/>
    <w:rsid w:val="00F15DD8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DA0D2"/>
  <w15:chartTrackingRefBased/>
  <w15:docId w15:val="{0E3C135D-E07D-4207-AAF5-8CF7718B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E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2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E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0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144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3AC"/>
  </w:style>
  <w:style w:type="paragraph" w:styleId="Footer">
    <w:name w:val="footer"/>
    <w:basedOn w:val="Normal"/>
    <w:link w:val="FooterChar"/>
    <w:uiPriority w:val="99"/>
    <w:unhideWhenUsed/>
    <w:rsid w:val="00750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3AC"/>
  </w:style>
  <w:style w:type="table" w:styleId="TableGrid">
    <w:name w:val="Table Grid"/>
    <w:basedOn w:val="TableNormal"/>
    <w:uiPriority w:val="59"/>
    <w:rsid w:val="003E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2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ZITHO</dc:creator>
  <cp:keywords/>
  <dc:description/>
  <cp:lastModifiedBy>Siphiwe Nkambule-Vilakati</cp:lastModifiedBy>
  <cp:revision>2</cp:revision>
  <dcterms:created xsi:type="dcterms:W3CDTF">2023-01-24T07:41:00Z</dcterms:created>
  <dcterms:modified xsi:type="dcterms:W3CDTF">2023-01-24T07:41:00Z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53b1f94e9a03bb8a674dd5e42139a40bb8e8827d9987eabf93539170d560a18d</vt:lpwstr>
  </property>
</Properties>
</file>