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C50D" w14:textId="1D4CC99A" w:rsidR="0016598E" w:rsidRPr="0050180F" w:rsidRDefault="0016598E"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 xml:space="preserve">                              FGD ASSESMENT REPORT</w:t>
      </w:r>
    </w:p>
    <w:p w14:paraId="5533989A" w14:textId="7E5CB8FA" w:rsidR="00383B21" w:rsidRPr="0050180F" w:rsidRDefault="00E558CC"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This survey was conducted in Gwange, Bolori,</w:t>
      </w:r>
      <w:r w:rsidR="0016598E" w:rsidRPr="0050180F">
        <w:rPr>
          <w:rFonts w:ascii="Times New Roman" w:eastAsia="Times New Roman" w:hAnsi="Times New Roman" w:cs="Times New Roman"/>
          <w:color w:val="333333"/>
          <w:sz w:val="24"/>
          <w:szCs w:val="23"/>
        </w:rPr>
        <w:t xml:space="preserve"> and</w:t>
      </w:r>
      <w:r w:rsidRPr="0050180F">
        <w:rPr>
          <w:rFonts w:ascii="Times New Roman" w:eastAsia="Times New Roman" w:hAnsi="Times New Roman" w:cs="Times New Roman"/>
          <w:color w:val="333333"/>
          <w:sz w:val="24"/>
          <w:szCs w:val="23"/>
        </w:rPr>
        <w:t xml:space="preserve"> Modusulumri Communities of MMC LGA in Borno State, Nigeria. The percentage of the participants according to gender participation during the Assessment in all the three selected communities in MMC LGA of Borno State, Nigeria is </w:t>
      </w:r>
      <w:r w:rsidR="0025750A" w:rsidRPr="0050180F">
        <w:rPr>
          <w:rFonts w:ascii="Times New Roman" w:eastAsia="Times New Roman" w:hAnsi="Times New Roman" w:cs="Times New Roman"/>
          <w:color w:val="333333"/>
          <w:sz w:val="24"/>
          <w:szCs w:val="23"/>
        </w:rPr>
        <w:t>4</w:t>
      </w:r>
      <w:r w:rsidRPr="0050180F">
        <w:rPr>
          <w:rFonts w:ascii="Times New Roman" w:eastAsia="Times New Roman" w:hAnsi="Times New Roman" w:cs="Times New Roman"/>
          <w:color w:val="333333"/>
          <w:sz w:val="24"/>
          <w:szCs w:val="23"/>
        </w:rPr>
        <w:t xml:space="preserve">0% for Male and </w:t>
      </w:r>
      <w:r w:rsidR="00BE1DCB">
        <w:rPr>
          <w:rFonts w:ascii="Times New Roman" w:eastAsia="Times New Roman" w:hAnsi="Times New Roman" w:cs="Times New Roman"/>
          <w:color w:val="333333"/>
          <w:sz w:val="24"/>
          <w:szCs w:val="23"/>
        </w:rPr>
        <w:t>58</w:t>
      </w:r>
      <w:r w:rsidRPr="0050180F">
        <w:rPr>
          <w:rFonts w:ascii="Times New Roman" w:eastAsia="Times New Roman" w:hAnsi="Times New Roman" w:cs="Times New Roman"/>
          <w:color w:val="333333"/>
          <w:sz w:val="24"/>
          <w:szCs w:val="23"/>
        </w:rPr>
        <w:t xml:space="preserve">% for Female, this was measured over 100%. The age group of most of the participants ranges from (male 14-60yrs) while for (female 15-60yrs). </w:t>
      </w:r>
      <w:r w:rsidR="001752D7">
        <w:rPr>
          <w:rFonts w:ascii="Times New Roman" w:eastAsia="Times New Roman" w:hAnsi="Times New Roman" w:cs="Times New Roman"/>
          <w:color w:val="333333"/>
          <w:sz w:val="24"/>
          <w:szCs w:val="23"/>
        </w:rPr>
        <w:t>A session was also conducted for a group of children</w:t>
      </w:r>
      <w:r w:rsidR="00BE1DCB">
        <w:rPr>
          <w:rFonts w:ascii="Times New Roman" w:eastAsia="Times New Roman" w:hAnsi="Times New Roman" w:cs="Times New Roman"/>
          <w:color w:val="333333"/>
          <w:sz w:val="24"/>
          <w:szCs w:val="23"/>
        </w:rPr>
        <w:t xml:space="preserve"> (</w:t>
      </w:r>
      <w:r w:rsidR="00607ECB">
        <w:rPr>
          <w:rFonts w:ascii="Times New Roman" w:eastAsia="Times New Roman" w:hAnsi="Times New Roman" w:cs="Times New Roman"/>
          <w:color w:val="333333"/>
          <w:sz w:val="24"/>
          <w:szCs w:val="23"/>
        </w:rPr>
        <w:t>2%</w:t>
      </w:r>
      <w:r w:rsidR="00607ECB">
        <w:rPr>
          <w:rFonts w:ascii="Times New Roman" w:eastAsia="Times New Roman" w:hAnsi="Times New Roman" w:cs="Times New Roman"/>
          <w:color w:val="333333"/>
          <w:sz w:val="24"/>
          <w:szCs w:val="23"/>
        </w:rPr>
        <w:t xml:space="preserve"> </w:t>
      </w:r>
      <w:r w:rsidR="00BE1DCB">
        <w:rPr>
          <w:rFonts w:ascii="Times New Roman" w:eastAsia="Times New Roman" w:hAnsi="Times New Roman" w:cs="Times New Roman"/>
          <w:color w:val="333333"/>
          <w:sz w:val="24"/>
          <w:szCs w:val="23"/>
        </w:rPr>
        <w:t xml:space="preserve">male </w:t>
      </w:r>
      <w:r w:rsidR="00607ECB">
        <w:rPr>
          <w:rFonts w:ascii="Times New Roman" w:eastAsia="Times New Roman" w:hAnsi="Times New Roman" w:cs="Times New Roman"/>
          <w:color w:val="333333"/>
          <w:sz w:val="24"/>
          <w:szCs w:val="23"/>
        </w:rPr>
        <w:t>participants</w:t>
      </w:r>
      <w:r w:rsidR="00BE1DCB">
        <w:rPr>
          <w:rFonts w:ascii="Times New Roman" w:eastAsia="Times New Roman" w:hAnsi="Times New Roman" w:cs="Times New Roman"/>
          <w:color w:val="333333"/>
          <w:sz w:val="24"/>
          <w:szCs w:val="23"/>
        </w:rPr>
        <w:t>)</w:t>
      </w:r>
      <w:r w:rsidR="00607ECB">
        <w:rPr>
          <w:rFonts w:ascii="Times New Roman" w:eastAsia="Times New Roman" w:hAnsi="Times New Roman" w:cs="Times New Roman"/>
          <w:color w:val="333333"/>
          <w:sz w:val="24"/>
          <w:szCs w:val="23"/>
        </w:rPr>
        <w:t>.</w:t>
      </w:r>
      <w:r w:rsidR="00BE1DCB">
        <w:rPr>
          <w:rFonts w:ascii="Times New Roman" w:eastAsia="Times New Roman" w:hAnsi="Times New Roman" w:cs="Times New Roman"/>
          <w:color w:val="333333"/>
          <w:sz w:val="24"/>
          <w:szCs w:val="23"/>
        </w:rPr>
        <w:t xml:space="preserve"> </w:t>
      </w:r>
      <w:r w:rsidRPr="0050180F">
        <w:rPr>
          <w:rFonts w:ascii="Times New Roman" w:eastAsia="Times New Roman" w:hAnsi="Times New Roman" w:cs="Times New Roman"/>
          <w:color w:val="333333"/>
          <w:sz w:val="24"/>
          <w:szCs w:val="23"/>
        </w:rPr>
        <w:t xml:space="preserve">During the survey there was disability inclusion where persons living with disability where actively included and they also make remarkable inputs during the assessment. </w:t>
      </w:r>
      <w:r w:rsidR="0025750A" w:rsidRPr="0050180F">
        <w:rPr>
          <w:rFonts w:ascii="Times New Roman" w:eastAsia="Times New Roman" w:hAnsi="Times New Roman" w:cs="Times New Roman"/>
          <w:color w:val="333333"/>
          <w:sz w:val="24"/>
          <w:szCs w:val="23"/>
        </w:rPr>
        <w:t>Most of the participants during the FGD assessment se</w:t>
      </w:r>
      <w:r w:rsidR="00EC149D">
        <w:rPr>
          <w:rFonts w:ascii="Times New Roman" w:eastAsia="Times New Roman" w:hAnsi="Times New Roman" w:cs="Times New Roman"/>
          <w:color w:val="333333"/>
          <w:sz w:val="24"/>
          <w:szCs w:val="23"/>
        </w:rPr>
        <w:t>ssions</w:t>
      </w:r>
      <w:r w:rsidR="0025750A" w:rsidRPr="0050180F">
        <w:rPr>
          <w:rFonts w:ascii="Times New Roman" w:eastAsia="Times New Roman" w:hAnsi="Times New Roman" w:cs="Times New Roman"/>
          <w:color w:val="333333"/>
          <w:sz w:val="24"/>
          <w:szCs w:val="23"/>
        </w:rPr>
        <w:t xml:space="preserve"> were from the host communit</w:t>
      </w:r>
      <w:r w:rsidR="008D60CA">
        <w:rPr>
          <w:rFonts w:ascii="Times New Roman" w:eastAsia="Times New Roman" w:hAnsi="Times New Roman" w:cs="Times New Roman"/>
          <w:color w:val="333333"/>
          <w:sz w:val="24"/>
          <w:szCs w:val="23"/>
        </w:rPr>
        <w:t>y</w:t>
      </w:r>
      <w:r w:rsidR="0025750A" w:rsidRPr="0050180F">
        <w:rPr>
          <w:rFonts w:ascii="Times New Roman" w:eastAsia="Times New Roman" w:hAnsi="Times New Roman" w:cs="Times New Roman"/>
          <w:color w:val="333333"/>
          <w:sz w:val="24"/>
          <w:szCs w:val="23"/>
        </w:rPr>
        <w:t xml:space="preserve"> especially Participants from Gwange and Bolori communities</w:t>
      </w:r>
      <w:r w:rsidR="00B32ACD" w:rsidRPr="0050180F">
        <w:rPr>
          <w:rFonts w:ascii="Times New Roman" w:eastAsia="Times New Roman" w:hAnsi="Times New Roman" w:cs="Times New Roman"/>
          <w:color w:val="333333"/>
          <w:sz w:val="24"/>
          <w:szCs w:val="23"/>
        </w:rPr>
        <w:t xml:space="preserve"> while most of the IDPs where from Modusulumri community. </w:t>
      </w:r>
    </w:p>
    <w:p w14:paraId="04CEE469" w14:textId="2E314A57" w:rsidR="00B32ACD" w:rsidRPr="0050180F" w:rsidRDefault="00B32ACD"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 xml:space="preserve">During the assessment  few questions were asked on their knowledge on who a humanitarian/development worker </w:t>
      </w:r>
      <w:r w:rsidR="008D60CA">
        <w:rPr>
          <w:rFonts w:ascii="Times New Roman" w:eastAsia="Times New Roman" w:hAnsi="Times New Roman" w:cs="Times New Roman"/>
          <w:color w:val="333333"/>
          <w:sz w:val="24"/>
          <w:szCs w:val="23"/>
        </w:rPr>
        <w:t xml:space="preserve">is </w:t>
      </w:r>
      <w:r w:rsidRPr="0050180F">
        <w:rPr>
          <w:rFonts w:ascii="Times New Roman" w:eastAsia="Times New Roman" w:hAnsi="Times New Roman" w:cs="Times New Roman"/>
          <w:color w:val="333333"/>
          <w:sz w:val="24"/>
          <w:szCs w:val="23"/>
        </w:rPr>
        <w:t>and most of the response</w:t>
      </w:r>
      <w:r w:rsidR="008D60CA">
        <w:rPr>
          <w:rFonts w:ascii="Times New Roman" w:eastAsia="Times New Roman" w:hAnsi="Times New Roman" w:cs="Times New Roman"/>
          <w:color w:val="333333"/>
          <w:sz w:val="24"/>
          <w:szCs w:val="23"/>
        </w:rPr>
        <w:t>s</w:t>
      </w:r>
      <w:r w:rsidRPr="0050180F">
        <w:rPr>
          <w:rFonts w:ascii="Times New Roman" w:eastAsia="Times New Roman" w:hAnsi="Times New Roman" w:cs="Times New Roman"/>
          <w:color w:val="333333"/>
          <w:sz w:val="24"/>
          <w:szCs w:val="23"/>
        </w:rPr>
        <w:t xml:space="preserve"> from the participants in the three selected locations are “All government workers, </w:t>
      </w:r>
      <w:r w:rsidR="006E3E6E" w:rsidRPr="0050180F">
        <w:rPr>
          <w:rFonts w:ascii="Times New Roman" w:eastAsia="Times New Roman" w:hAnsi="Times New Roman" w:cs="Times New Roman"/>
          <w:color w:val="333333"/>
          <w:sz w:val="24"/>
          <w:szCs w:val="23"/>
        </w:rPr>
        <w:t>All NGO workers, UN workers Doctors and Nurses. The response above shows the participant</w:t>
      </w:r>
      <w:r w:rsidR="007547B6">
        <w:rPr>
          <w:rFonts w:ascii="Times New Roman" w:eastAsia="Times New Roman" w:hAnsi="Times New Roman" w:cs="Times New Roman"/>
          <w:color w:val="333333"/>
          <w:sz w:val="24"/>
          <w:szCs w:val="23"/>
        </w:rPr>
        <w:t>’</w:t>
      </w:r>
      <w:r w:rsidR="006E3E6E" w:rsidRPr="0050180F">
        <w:rPr>
          <w:rFonts w:ascii="Times New Roman" w:eastAsia="Times New Roman" w:hAnsi="Times New Roman" w:cs="Times New Roman"/>
          <w:color w:val="333333"/>
          <w:sz w:val="24"/>
          <w:szCs w:val="23"/>
        </w:rPr>
        <w:t>s knowledge on who a humanitarian/development worker is to them which will help us have an idea of what they know and how best to educate.</w:t>
      </w:r>
    </w:p>
    <w:p w14:paraId="2894A6A4" w14:textId="7AD0CF3E" w:rsidR="00765FBB" w:rsidRPr="0050180F" w:rsidRDefault="00373FD0"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 xml:space="preserve">During </w:t>
      </w:r>
      <w:r w:rsidR="00BE1AE0" w:rsidRPr="0050180F">
        <w:rPr>
          <w:rFonts w:ascii="Times New Roman" w:eastAsia="Times New Roman" w:hAnsi="Times New Roman" w:cs="Times New Roman"/>
          <w:color w:val="333333"/>
          <w:sz w:val="24"/>
          <w:szCs w:val="23"/>
        </w:rPr>
        <w:t>the assessment the participants</w:t>
      </w:r>
      <w:r w:rsidR="00DF2DF9" w:rsidRPr="0050180F">
        <w:rPr>
          <w:rFonts w:ascii="Times New Roman" w:eastAsia="Times New Roman" w:hAnsi="Times New Roman" w:cs="Times New Roman"/>
          <w:color w:val="333333"/>
          <w:sz w:val="24"/>
          <w:szCs w:val="23"/>
        </w:rPr>
        <w:t xml:space="preserve"> knowledge on what are</w:t>
      </w:r>
      <w:r w:rsidR="00BE1AE0" w:rsidRPr="0050180F">
        <w:rPr>
          <w:rFonts w:ascii="Times New Roman" w:eastAsia="Times New Roman" w:hAnsi="Times New Roman" w:cs="Times New Roman"/>
          <w:color w:val="333333"/>
          <w:sz w:val="24"/>
          <w:szCs w:val="23"/>
        </w:rPr>
        <w:t xml:space="preserve"> unacceptable behavior by a humanitarian</w:t>
      </w:r>
      <w:r w:rsidR="00DF2DF9" w:rsidRPr="0050180F">
        <w:rPr>
          <w:rFonts w:ascii="Times New Roman" w:eastAsia="Times New Roman" w:hAnsi="Times New Roman" w:cs="Times New Roman"/>
          <w:color w:val="333333"/>
          <w:sz w:val="24"/>
          <w:szCs w:val="23"/>
        </w:rPr>
        <w:t>/development worker and their response were</w:t>
      </w:r>
      <w:r w:rsidR="00BE1AE0" w:rsidRPr="0050180F">
        <w:rPr>
          <w:rFonts w:ascii="Times New Roman" w:eastAsia="Times New Roman" w:hAnsi="Times New Roman" w:cs="Times New Roman"/>
          <w:color w:val="333333"/>
          <w:sz w:val="24"/>
          <w:szCs w:val="23"/>
        </w:rPr>
        <w:t xml:space="preserve"> </w:t>
      </w:r>
      <w:r w:rsidR="00DF2DF9" w:rsidRPr="0050180F">
        <w:rPr>
          <w:rFonts w:ascii="Times New Roman" w:eastAsia="Times New Roman" w:hAnsi="Times New Roman" w:cs="Times New Roman"/>
          <w:color w:val="333333"/>
          <w:sz w:val="24"/>
          <w:szCs w:val="23"/>
        </w:rPr>
        <w:t>“</w:t>
      </w:r>
      <w:r w:rsidR="00BE1AE0" w:rsidRPr="0050180F">
        <w:rPr>
          <w:rFonts w:ascii="Times New Roman" w:eastAsia="Times New Roman" w:hAnsi="Times New Roman" w:cs="Times New Roman"/>
          <w:color w:val="333333"/>
          <w:sz w:val="24"/>
          <w:szCs w:val="23"/>
        </w:rPr>
        <w:t xml:space="preserve">giving bad drugs, promising </w:t>
      </w:r>
      <w:r w:rsidR="009A608F" w:rsidRPr="0050180F">
        <w:rPr>
          <w:rFonts w:ascii="Times New Roman" w:eastAsia="Times New Roman" w:hAnsi="Times New Roman" w:cs="Times New Roman"/>
          <w:color w:val="333333"/>
          <w:sz w:val="24"/>
          <w:szCs w:val="23"/>
        </w:rPr>
        <w:t xml:space="preserve">and not fulfilling the promises, being unfair during distribution of food items, soliciting sex workers while some don’t know. </w:t>
      </w:r>
      <w:r w:rsidR="002C16E9" w:rsidRPr="0050180F">
        <w:rPr>
          <w:rFonts w:ascii="Times New Roman" w:eastAsia="Times New Roman" w:hAnsi="Times New Roman" w:cs="Times New Roman"/>
          <w:color w:val="333333"/>
          <w:sz w:val="24"/>
          <w:szCs w:val="23"/>
        </w:rPr>
        <w:t>And also their knowledge</w:t>
      </w:r>
      <w:r w:rsidR="00971E55" w:rsidRPr="0050180F">
        <w:rPr>
          <w:rFonts w:ascii="Times New Roman" w:eastAsia="Times New Roman" w:hAnsi="Times New Roman" w:cs="Times New Roman"/>
          <w:color w:val="333333"/>
          <w:sz w:val="24"/>
          <w:szCs w:val="23"/>
        </w:rPr>
        <w:t xml:space="preserve"> on how they get </w:t>
      </w:r>
      <w:r w:rsidR="00DF2DF9" w:rsidRPr="0050180F">
        <w:rPr>
          <w:rFonts w:ascii="Times New Roman" w:eastAsia="Times New Roman" w:hAnsi="Times New Roman" w:cs="Times New Roman"/>
          <w:color w:val="333333"/>
          <w:sz w:val="24"/>
          <w:szCs w:val="23"/>
        </w:rPr>
        <w:t xml:space="preserve">information about what constitutes unacceptable behavior by humanitarian/development worker, their sources of </w:t>
      </w:r>
      <w:r w:rsidR="00765FBB" w:rsidRPr="0050180F">
        <w:rPr>
          <w:rFonts w:ascii="Times New Roman" w:eastAsia="Times New Roman" w:hAnsi="Times New Roman" w:cs="Times New Roman"/>
          <w:color w:val="333333"/>
          <w:sz w:val="24"/>
          <w:szCs w:val="23"/>
        </w:rPr>
        <w:t>information varies</w:t>
      </w:r>
      <w:r w:rsidR="002C16E9" w:rsidRPr="0050180F">
        <w:rPr>
          <w:rFonts w:ascii="Times New Roman" w:eastAsia="Times New Roman" w:hAnsi="Times New Roman" w:cs="Times New Roman"/>
          <w:color w:val="333333"/>
          <w:sz w:val="24"/>
          <w:szCs w:val="23"/>
        </w:rPr>
        <w:t xml:space="preserve"> some from posters and facility, radio, community member, volunteers, and sensitization campaign by NG</w:t>
      </w:r>
      <w:r w:rsidR="00765FBB" w:rsidRPr="0050180F">
        <w:rPr>
          <w:rFonts w:ascii="Times New Roman" w:eastAsia="Times New Roman" w:hAnsi="Times New Roman" w:cs="Times New Roman"/>
          <w:color w:val="333333"/>
          <w:sz w:val="24"/>
          <w:szCs w:val="23"/>
        </w:rPr>
        <w:t xml:space="preserve">O/government. </w:t>
      </w:r>
    </w:p>
    <w:p w14:paraId="0B185B4A" w14:textId="09D2584E" w:rsidR="005C7883" w:rsidRPr="0050180F" w:rsidRDefault="00492063"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 xml:space="preserve"> The p</w:t>
      </w:r>
      <w:r w:rsidR="00765FBB" w:rsidRPr="0050180F">
        <w:rPr>
          <w:rFonts w:ascii="Times New Roman" w:eastAsia="Times New Roman" w:hAnsi="Times New Roman" w:cs="Times New Roman"/>
          <w:color w:val="333333"/>
          <w:sz w:val="24"/>
          <w:szCs w:val="23"/>
        </w:rPr>
        <w:t xml:space="preserve">articipants knowledge during the assessment on whether </w:t>
      </w:r>
      <w:r w:rsidR="001B0875" w:rsidRPr="0050180F">
        <w:rPr>
          <w:rFonts w:ascii="Times New Roman" w:eastAsia="Times New Roman" w:hAnsi="Times New Roman" w:cs="Times New Roman"/>
          <w:color w:val="333333"/>
          <w:sz w:val="24"/>
          <w:szCs w:val="23"/>
        </w:rPr>
        <w:t xml:space="preserve">they heard or do they know of someone who has complained about sexual exploitation and/or abuse by a </w:t>
      </w:r>
      <w:r w:rsidR="00F53CEC" w:rsidRPr="0050180F">
        <w:rPr>
          <w:rFonts w:ascii="Times New Roman" w:eastAsia="Times New Roman" w:hAnsi="Times New Roman" w:cs="Times New Roman"/>
          <w:color w:val="333333"/>
          <w:sz w:val="24"/>
          <w:szCs w:val="23"/>
        </w:rPr>
        <w:t xml:space="preserve">humanitarian/development worker, from their responses 90% said </w:t>
      </w:r>
      <w:r w:rsidR="004E135C" w:rsidRPr="0050180F">
        <w:rPr>
          <w:rFonts w:ascii="Times New Roman" w:eastAsia="Times New Roman" w:hAnsi="Times New Roman" w:cs="Times New Roman"/>
          <w:color w:val="333333"/>
          <w:sz w:val="24"/>
          <w:szCs w:val="23"/>
        </w:rPr>
        <w:t>‘’</w:t>
      </w:r>
      <w:r w:rsidR="00F53CEC" w:rsidRPr="0050180F">
        <w:rPr>
          <w:rFonts w:ascii="Times New Roman" w:eastAsia="Times New Roman" w:hAnsi="Times New Roman" w:cs="Times New Roman"/>
          <w:color w:val="333333"/>
          <w:sz w:val="24"/>
          <w:szCs w:val="23"/>
        </w:rPr>
        <w:t>NO</w:t>
      </w:r>
      <w:r w:rsidR="004E135C" w:rsidRPr="0050180F">
        <w:rPr>
          <w:rFonts w:ascii="Times New Roman" w:eastAsia="Times New Roman" w:hAnsi="Times New Roman" w:cs="Times New Roman"/>
          <w:color w:val="333333"/>
          <w:sz w:val="24"/>
          <w:szCs w:val="23"/>
        </w:rPr>
        <w:t>’’</w:t>
      </w:r>
      <w:r w:rsidR="00F53CEC" w:rsidRPr="0050180F">
        <w:rPr>
          <w:rFonts w:ascii="Times New Roman" w:eastAsia="Times New Roman" w:hAnsi="Times New Roman" w:cs="Times New Roman"/>
          <w:color w:val="333333"/>
          <w:sz w:val="24"/>
          <w:szCs w:val="23"/>
        </w:rPr>
        <w:t xml:space="preserve"> while only 10% said </w:t>
      </w:r>
      <w:r w:rsidR="004E135C" w:rsidRPr="0050180F">
        <w:rPr>
          <w:rFonts w:ascii="Times New Roman" w:eastAsia="Times New Roman" w:hAnsi="Times New Roman" w:cs="Times New Roman"/>
          <w:color w:val="333333"/>
          <w:sz w:val="24"/>
          <w:szCs w:val="23"/>
        </w:rPr>
        <w:t>‘’</w:t>
      </w:r>
      <w:r w:rsidR="0063156B" w:rsidRPr="0050180F">
        <w:rPr>
          <w:rFonts w:ascii="Times New Roman" w:eastAsia="Times New Roman" w:hAnsi="Times New Roman" w:cs="Times New Roman"/>
          <w:color w:val="333333"/>
          <w:sz w:val="24"/>
          <w:szCs w:val="23"/>
        </w:rPr>
        <w:t xml:space="preserve">YES’’ . </w:t>
      </w:r>
      <w:r w:rsidR="007134E4" w:rsidRPr="0050180F">
        <w:rPr>
          <w:rFonts w:ascii="Times New Roman" w:eastAsia="Times New Roman" w:hAnsi="Times New Roman" w:cs="Times New Roman"/>
          <w:color w:val="333333"/>
          <w:sz w:val="24"/>
          <w:szCs w:val="23"/>
        </w:rPr>
        <w:t>Most of the participants knowledge when asked if they have witnessed sexual exploitation and/or abuse by a humanitarian/</w:t>
      </w:r>
      <w:r w:rsidR="007564A3" w:rsidRPr="0050180F">
        <w:rPr>
          <w:rFonts w:ascii="Times New Roman" w:eastAsia="Times New Roman" w:hAnsi="Times New Roman" w:cs="Times New Roman"/>
          <w:color w:val="333333"/>
          <w:sz w:val="24"/>
          <w:szCs w:val="23"/>
        </w:rPr>
        <w:t xml:space="preserve">development worker, the percentage on their responses </w:t>
      </w:r>
      <w:r w:rsidR="00903E67" w:rsidRPr="0050180F">
        <w:rPr>
          <w:rFonts w:ascii="Times New Roman" w:eastAsia="Times New Roman" w:hAnsi="Times New Roman" w:cs="Times New Roman"/>
          <w:color w:val="333333"/>
          <w:sz w:val="24"/>
          <w:szCs w:val="23"/>
        </w:rPr>
        <w:t xml:space="preserve">60% said ‘’YES’’ 30% said ‘’NO’’ while 10% of the participants are not really sure </w:t>
      </w:r>
      <w:r w:rsidR="00903E67" w:rsidRPr="0050180F">
        <w:rPr>
          <w:rFonts w:ascii="Times New Roman" w:eastAsia="Times New Roman" w:hAnsi="Times New Roman" w:cs="Times New Roman"/>
          <w:color w:val="333333"/>
          <w:sz w:val="24"/>
          <w:szCs w:val="23"/>
        </w:rPr>
        <w:lastRenderedPageBreak/>
        <w:t>about the answer. Also their response on if the</w:t>
      </w:r>
      <w:r w:rsidR="00B25E99">
        <w:rPr>
          <w:rFonts w:ascii="Times New Roman" w:eastAsia="Times New Roman" w:hAnsi="Times New Roman" w:cs="Times New Roman"/>
          <w:color w:val="333333"/>
          <w:sz w:val="24"/>
          <w:szCs w:val="23"/>
        </w:rPr>
        <w:t>y</w:t>
      </w:r>
      <w:r w:rsidR="00903E67" w:rsidRPr="0050180F">
        <w:rPr>
          <w:rFonts w:ascii="Times New Roman" w:eastAsia="Times New Roman" w:hAnsi="Times New Roman" w:cs="Times New Roman"/>
          <w:color w:val="333333"/>
          <w:sz w:val="24"/>
          <w:szCs w:val="23"/>
        </w:rPr>
        <w:t xml:space="preserve"> have witnessed SEA by a humanitarian worker, do you know where to report it. Based on percentage 90% said </w:t>
      </w:r>
      <w:r w:rsidR="00300124" w:rsidRPr="0050180F">
        <w:rPr>
          <w:rFonts w:ascii="Times New Roman" w:eastAsia="Times New Roman" w:hAnsi="Times New Roman" w:cs="Times New Roman"/>
          <w:color w:val="333333"/>
          <w:sz w:val="24"/>
          <w:szCs w:val="23"/>
        </w:rPr>
        <w:t>‘’YES’’ and 10% said ‘’NO’’</w:t>
      </w:r>
      <w:r w:rsidR="005C7883" w:rsidRPr="0050180F">
        <w:rPr>
          <w:rFonts w:ascii="Times New Roman" w:eastAsia="Times New Roman" w:hAnsi="Times New Roman" w:cs="Times New Roman"/>
          <w:color w:val="333333"/>
          <w:sz w:val="24"/>
          <w:szCs w:val="23"/>
        </w:rPr>
        <w:t xml:space="preserve"> to the answer.</w:t>
      </w:r>
    </w:p>
    <w:p w14:paraId="01E5C617" w14:textId="24D6EA28" w:rsidR="005C7883" w:rsidRPr="0050180F" w:rsidRDefault="005C7883"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Assessing the participants knowledge on how easy it is for them to report SEA by humanitarian/development work</w:t>
      </w:r>
      <w:r w:rsidR="00757CBB" w:rsidRPr="0050180F">
        <w:rPr>
          <w:rFonts w:ascii="Times New Roman" w:eastAsia="Times New Roman" w:hAnsi="Times New Roman" w:cs="Times New Roman"/>
          <w:color w:val="333333"/>
          <w:sz w:val="24"/>
          <w:szCs w:val="23"/>
        </w:rPr>
        <w:t xml:space="preserve">, 40% of the participants responded they get easy access to reporting SEA in their communities while 60% of the participants responded that they do not get access to reporting centers making it hard for them to report any SEA issues, also some of the participants said the reason why they do not find it easy to report SEA is because they do not have direct contact with the reporting mechanism </w:t>
      </w:r>
      <w:r w:rsidR="00C54F9A">
        <w:rPr>
          <w:rFonts w:ascii="Times New Roman" w:eastAsia="Times New Roman" w:hAnsi="Times New Roman" w:cs="Times New Roman"/>
          <w:color w:val="333333"/>
          <w:sz w:val="24"/>
          <w:szCs w:val="23"/>
        </w:rPr>
        <w:t>be</w:t>
      </w:r>
      <w:r w:rsidR="00757CBB" w:rsidRPr="0050180F">
        <w:rPr>
          <w:rFonts w:ascii="Times New Roman" w:eastAsia="Times New Roman" w:hAnsi="Times New Roman" w:cs="Times New Roman"/>
          <w:color w:val="333333"/>
          <w:sz w:val="24"/>
          <w:szCs w:val="23"/>
        </w:rPr>
        <w:t xml:space="preserve">cause they have to go through their parents </w:t>
      </w:r>
      <w:r w:rsidR="00D318FC">
        <w:rPr>
          <w:rFonts w:ascii="Times New Roman" w:eastAsia="Times New Roman" w:hAnsi="Times New Roman" w:cs="Times New Roman"/>
          <w:color w:val="333333"/>
          <w:sz w:val="24"/>
          <w:szCs w:val="23"/>
        </w:rPr>
        <w:t xml:space="preserve">to </w:t>
      </w:r>
      <w:r w:rsidR="00757CBB" w:rsidRPr="0050180F">
        <w:rPr>
          <w:rFonts w:ascii="Times New Roman" w:eastAsia="Times New Roman" w:hAnsi="Times New Roman" w:cs="Times New Roman"/>
          <w:color w:val="333333"/>
          <w:sz w:val="24"/>
          <w:szCs w:val="23"/>
        </w:rPr>
        <w:t>help them in reporting</w:t>
      </w:r>
      <w:r w:rsidR="000325D5" w:rsidRPr="0050180F">
        <w:rPr>
          <w:rFonts w:ascii="Times New Roman" w:eastAsia="Times New Roman" w:hAnsi="Times New Roman" w:cs="Times New Roman"/>
          <w:color w:val="333333"/>
          <w:sz w:val="24"/>
          <w:szCs w:val="23"/>
        </w:rPr>
        <w:t xml:space="preserve"> these</w:t>
      </w:r>
      <w:r w:rsidR="00757CBB" w:rsidRPr="0050180F">
        <w:rPr>
          <w:rFonts w:ascii="Times New Roman" w:eastAsia="Times New Roman" w:hAnsi="Times New Roman" w:cs="Times New Roman"/>
          <w:color w:val="333333"/>
          <w:sz w:val="24"/>
          <w:szCs w:val="23"/>
        </w:rPr>
        <w:t xml:space="preserve"> ca</w:t>
      </w:r>
      <w:r w:rsidR="000325D5" w:rsidRPr="0050180F">
        <w:rPr>
          <w:rFonts w:ascii="Times New Roman" w:eastAsia="Times New Roman" w:hAnsi="Times New Roman" w:cs="Times New Roman"/>
          <w:color w:val="333333"/>
          <w:sz w:val="24"/>
          <w:szCs w:val="23"/>
        </w:rPr>
        <w:t xml:space="preserve">ses </w:t>
      </w:r>
      <w:r w:rsidR="00D318FC">
        <w:rPr>
          <w:rFonts w:ascii="Times New Roman" w:eastAsia="Times New Roman" w:hAnsi="Times New Roman" w:cs="Times New Roman"/>
          <w:color w:val="333333"/>
          <w:sz w:val="24"/>
          <w:szCs w:val="23"/>
        </w:rPr>
        <w:t xml:space="preserve"> and they </w:t>
      </w:r>
      <w:r w:rsidR="000325D5" w:rsidRPr="0050180F">
        <w:rPr>
          <w:rFonts w:ascii="Times New Roman" w:eastAsia="Times New Roman" w:hAnsi="Times New Roman" w:cs="Times New Roman"/>
          <w:color w:val="333333"/>
          <w:sz w:val="24"/>
          <w:szCs w:val="23"/>
        </w:rPr>
        <w:t>are mostly from teenagers in the communities.</w:t>
      </w:r>
      <w:r w:rsidR="00B45E69" w:rsidRPr="0050180F">
        <w:rPr>
          <w:rFonts w:ascii="Times New Roman" w:eastAsia="Times New Roman" w:hAnsi="Times New Roman" w:cs="Times New Roman"/>
          <w:color w:val="333333"/>
          <w:sz w:val="24"/>
          <w:szCs w:val="23"/>
        </w:rPr>
        <w:t xml:space="preserve"> And also when ask on their safety on reporting bad behavior of humanitarian/development worker. </w:t>
      </w:r>
      <w:r w:rsidR="002C789E" w:rsidRPr="0050180F">
        <w:rPr>
          <w:rFonts w:ascii="Times New Roman" w:eastAsia="Times New Roman" w:hAnsi="Times New Roman" w:cs="Times New Roman"/>
          <w:color w:val="333333"/>
          <w:sz w:val="24"/>
          <w:szCs w:val="23"/>
        </w:rPr>
        <w:t>80% of them feel safe while 20% of them don’t feel safe in</w:t>
      </w:r>
      <w:r w:rsidR="001F2A73" w:rsidRPr="0050180F">
        <w:rPr>
          <w:rFonts w:ascii="Times New Roman" w:eastAsia="Times New Roman" w:hAnsi="Times New Roman" w:cs="Times New Roman"/>
          <w:color w:val="333333"/>
          <w:sz w:val="24"/>
          <w:szCs w:val="23"/>
        </w:rPr>
        <w:t xml:space="preserve"> reporting cases on this issues.</w:t>
      </w:r>
    </w:p>
    <w:p w14:paraId="5F15023F" w14:textId="1F307A0B" w:rsidR="00C075DF" w:rsidRDefault="009C5290" w:rsidP="0050180F">
      <w:pPr>
        <w:spacing w:line="360" w:lineRule="auto"/>
        <w:jc w:val="both"/>
        <w:rPr>
          <w:rFonts w:ascii="Times New Roman" w:eastAsia="Times New Roman" w:hAnsi="Times New Roman" w:cs="Times New Roman"/>
          <w:color w:val="333333"/>
          <w:sz w:val="24"/>
          <w:szCs w:val="23"/>
        </w:rPr>
      </w:pPr>
      <w:r w:rsidRPr="0050180F">
        <w:rPr>
          <w:rFonts w:ascii="Times New Roman" w:eastAsia="Times New Roman" w:hAnsi="Times New Roman" w:cs="Times New Roman"/>
          <w:color w:val="333333"/>
          <w:sz w:val="24"/>
          <w:szCs w:val="23"/>
        </w:rPr>
        <w:t xml:space="preserve">During the </w:t>
      </w:r>
      <w:r w:rsidR="00E84459" w:rsidRPr="0050180F">
        <w:rPr>
          <w:rFonts w:ascii="Times New Roman" w:eastAsia="Times New Roman" w:hAnsi="Times New Roman" w:cs="Times New Roman"/>
          <w:color w:val="333333"/>
          <w:sz w:val="24"/>
          <w:szCs w:val="23"/>
        </w:rPr>
        <w:t xml:space="preserve">assessment participants were asked on ways to make it easy for them to report SEA by humanitarian/development worker. Most of response from the participants </w:t>
      </w:r>
      <w:r w:rsidR="001E3C2E" w:rsidRPr="0050180F">
        <w:rPr>
          <w:rFonts w:ascii="Times New Roman" w:eastAsia="Times New Roman" w:hAnsi="Times New Roman" w:cs="Times New Roman"/>
          <w:color w:val="333333"/>
          <w:sz w:val="24"/>
          <w:szCs w:val="23"/>
        </w:rPr>
        <w:t>suggest that volunteers should go for house to house sensitization, have a free hot line to call when it happen, more programs on PSEA, and a suggestion box</w:t>
      </w:r>
      <w:r w:rsidR="008B56C3" w:rsidRPr="0050180F">
        <w:rPr>
          <w:rFonts w:ascii="Times New Roman" w:eastAsia="Times New Roman" w:hAnsi="Times New Roman" w:cs="Times New Roman"/>
          <w:color w:val="333333"/>
          <w:sz w:val="24"/>
          <w:szCs w:val="23"/>
        </w:rPr>
        <w:t xml:space="preserve"> be provided in the communities.</w:t>
      </w:r>
    </w:p>
    <w:p w14:paraId="21C6BAAF" w14:textId="14038C77" w:rsidR="007725F9" w:rsidRPr="004C0E85" w:rsidRDefault="004C0E85" w:rsidP="0050180F">
      <w:pPr>
        <w:spacing w:line="360" w:lineRule="auto"/>
        <w:jc w:val="both"/>
        <w:rPr>
          <w:rFonts w:ascii="Times New Roman" w:eastAsia="Times New Roman" w:hAnsi="Times New Roman" w:cs="Times New Roman"/>
          <w:b/>
          <w:bCs/>
          <w:color w:val="333333"/>
          <w:sz w:val="24"/>
          <w:szCs w:val="23"/>
        </w:rPr>
      </w:pPr>
      <w:r>
        <w:rPr>
          <w:rFonts w:ascii="Times New Roman" w:eastAsia="Times New Roman" w:hAnsi="Times New Roman" w:cs="Times New Roman"/>
          <w:b/>
          <w:bCs/>
          <w:color w:val="333333"/>
          <w:sz w:val="24"/>
          <w:szCs w:val="23"/>
        </w:rPr>
        <w:t>NUMBER OF PERSONS ACCORDING TO LOC</w:t>
      </w:r>
      <w:r w:rsidR="007E4112">
        <w:rPr>
          <w:rFonts w:ascii="Times New Roman" w:eastAsia="Times New Roman" w:hAnsi="Times New Roman" w:cs="Times New Roman"/>
          <w:b/>
          <w:bCs/>
          <w:color w:val="333333"/>
          <w:sz w:val="24"/>
          <w:szCs w:val="23"/>
        </w:rPr>
        <w:t>A</w:t>
      </w:r>
      <w:r>
        <w:rPr>
          <w:rFonts w:ascii="Times New Roman" w:eastAsia="Times New Roman" w:hAnsi="Times New Roman" w:cs="Times New Roman"/>
          <w:b/>
          <w:bCs/>
          <w:color w:val="333333"/>
          <w:sz w:val="24"/>
          <w:szCs w:val="23"/>
        </w:rPr>
        <w:t>TION</w:t>
      </w:r>
    </w:p>
    <w:tbl>
      <w:tblPr>
        <w:tblStyle w:val="TableGrid"/>
        <w:tblW w:w="0" w:type="auto"/>
        <w:tblLook w:val="04A0" w:firstRow="1" w:lastRow="0" w:firstColumn="1" w:lastColumn="0" w:noHBand="0" w:noVBand="1"/>
      </w:tblPr>
      <w:tblGrid>
        <w:gridCol w:w="2077"/>
        <w:gridCol w:w="1816"/>
        <w:gridCol w:w="1885"/>
        <w:gridCol w:w="1911"/>
        <w:gridCol w:w="1661"/>
      </w:tblGrid>
      <w:tr w:rsidR="00384BFA" w14:paraId="6DAD8D30" w14:textId="6EF13E26" w:rsidTr="00384BFA">
        <w:tc>
          <w:tcPr>
            <w:tcW w:w="2077" w:type="dxa"/>
          </w:tcPr>
          <w:p w14:paraId="7F39119F" w14:textId="51C22A95"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Location</w:t>
            </w:r>
          </w:p>
        </w:tc>
        <w:tc>
          <w:tcPr>
            <w:tcW w:w="1816" w:type="dxa"/>
          </w:tcPr>
          <w:p w14:paraId="4B65ED55" w14:textId="4D418FF1"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Male</w:t>
            </w:r>
          </w:p>
        </w:tc>
        <w:tc>
          <w:tcPr>
            <w:tcW w:w="1885" w:type="dxa"/>
          </w:tcPr>
          <w:p w14:paraId="204EB75D" w14:textId="4A4060FE"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Female</w:t>
            </w:r>
          </w:p>
        </w:tc>
        <w:tc>
          <w:tcPr>
            <w:tcW w:w="1911" w:type="dxa"/>
          </w:tcPr>
          <w:p w14:paraId="06DD2A54" w14:textId="0BD6F935"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Total Number</w:t>
            </w:r>
          </w:p>
        </w:tc>
        <w:tc>
          <w:tcPr>
            <w:tcW w:w="1661" w:type="dxa"/>
          </w:tcPr>
          <w:p w14:paraId="2E8442A5" w14:textId="77777777"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 xml:space="preserve">Total Number </w:t>
            </w:r>
          </w:p>
          <w:p w14:paraId="37EA3995" w14:textId="010CA1BC"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of participants</w:t>
            </w:r>
          </w:p>
        </w:tc>
      </w:tr>
      <w:tr w:rsidR="00384BFA" w14:paraId="0B75E611" w14:textId="2FAFD3AF" w:rsidTr="00384BFA">
        <w:tc>
          <w:tcPr>
            <w:tcW w:w="2077" w:type="dxa"/>
          </w:tcPr>
          <w:p w14:paraId="360E5EE1" w14:textId="6D6FAF69"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Bolori</w:t>
            </w:r>
          </w:p>
        </w:tc>
        <w:tc>
          <w:tcPr>
            <w:tcW w:w="1816" w:type="dxa"/>
          </w:tcPr>
          <w:p w14:paraId="605A9BB4" w14:textId="477CDE6E"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18</w:t>
            </w:r>
          </w:p>
        </w:tc>
        <w:tc>
          <w:tcPr>
            <w:tcW w:w="1885" w:type="dxa"/>
          </w:tcPr>
          <w:p w14:paraId="0F142A8D" w14:textId="1A6DCAAF"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52</w:t>
            </w:r>
          </w:p>
        </w:tc>
        <w:tc>
          <w:tcPr>
            <w:tcW w:w="1911" w:type="dxa"/>
          </w:tcPr>
          <w:p w14:paraId="13B114C1" w14:textId="32C338E7"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70</w:t>
            </w:r>
          </w:p>
        </w:tc>
        <w:tc>
          <w:tcPr>
            <w:tcW w:w="1661" w:type="dxa"/>
            <w:vMerge w:val="restart"/>
          </w:tcPr>
          <w:p w14:paraId="4B52F04E" w14:textId="77777777" w:rsidR="00384BFA" w:rsidRDefault="00384BFA" w:rsidP="0050180F">
            <w:pPr>
              <w:spacing w:line="360" w:lineRule="auto"/>
              <w:jc w:val="both"/>
              <w:rPr>
                <w:rFonts w:ascii="Times New Roman" w:eastAsia="Times New Roman" w:hAnsi="Times New Roman" w:cs="Times New Roman"/>
                <w:color w:val="333333"/>
                <w:sz w:val="24"/>
                <w:szCs w:val="23"/>
              </w:rPr>
            </w:pPr>
          </w:p>
          <w:p w14:paraId="0758B027" w14:textId="45C5EA0F" w:rsidR="00A02EF4" w:rsidRPr="00A02EF4" w:rsidRDefault="00A02EF4" w:rsidP="00A02EF4">
            <w:pPr>
              <w:spacing w:line="360" w:lineRule="auto"/>
              <w:jc w:val="center"/>
              <w:rPr>
                <w:rFonts w:ascii="Times New Roman" w:eastAsia="Times New Roman" w:hAnsi="Times New Roman" w:cs="Times New Roman"/>
                <w:b/>
                <w:bCs/>
                <w:color w:val="333333"/>
                <w:sz w:val="24"/>
                <w:szCs w:val="23"/>
              </w:rPr>
            </w:pPr>
            <w:r w:rsidRPr="00A02EF4">
              <w:rPr>
                <w:rFonts w:ascii="Times New Roman" w:eastAsia="Times New Roman" w:hAnsi="Times New Roman" w:cs="Times New Roman"/>
                <w:b/>
                <w:bCs/>
                <w:color w:val="333333"/>
                <w:sz w:val="24"/>
                <w:szCs w:val="23"/>
              </w:rPr>
              <w:t>256</w:t>
            </w:r>
          </w:p>
        </w:tc>
      </w:tr>
      <w:tr w:rsidR="00384BFA" w14:paraId="69732BB5" w14:textId="706A77E5" w:rsidTr="00384BFA">
        <w:tc>
          <w:tcPr>
            <w:tcW w:w="2077" w:type="dxa"/>
          </w:tcPr>
          <w:p w14:paraId="4507C542" w14:textId="1E8DF143"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Gwange</w:t>
            </w:r>
          </w:p>
        </w:tc>
        <w:tc>
          <w:tcPr>
            <w:tcW w:w="1816" w:type="dxa"/>
          </w:tcPr>
          <w:p w14:paraId="56275FD3" w14:textId="0C37D84E"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74</w:t>
            </w:r>
          </w:p>
        </w:tc>
        <w:tc>
          <w:tcPr>
            <w:tcW w:w="1885" w:type="dxa"/>
          </w:tcPr>
          <w:p w14:paraId="3F93FC3E" w14:textId="4571237A"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57</w:t>
            </w:r>
          </w:p>
        </w:tc>
        <w:tc>
          <w:tcPr>
            <w:tcW w:w="1911" w:type="dxa"/>
          </w:tcPr>
          <w:p w14:paraId="2B40A127" w14:textId="0899AD28"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131</w:t>
            </w:r>
          </w:p>
        </w:tc>
        <w:tc>
          <w:tcPr>
            <w:tcW w:w="1661" w:type="dxa"/>
            <w:vMerge/>
          </w:tcPr>
          <w:p w14:paraId="3F868114" w14:textId="77777777" w:rsidR="00384BFA" w:rsidRDefault="00384BFA" w:rsidP="0050180F">
            <w:pPr>
              <w:spacing w:line="360" w:lineRule="auto"/>
              <w:jc w:val="both"/>
              <w:rPr>
                <w:rFonts w:ascii="Times New Roman" w:eastAsia="Times New Roman" w:hAnsi="Times New Roman" w:cs="Times New Roman"/>
                <w:color w:val="333333"/>
                <w:sz w:val="24"/>
                <w:szCs w:val="23"/>
              </w:rPr>
            </w:pPr>
          </w:p>
        </w:tc>
      </w:tr>
      <w:tr w:rsidR="00384BFA" w14:paraId="1ABEEA46" w14:textId="2612C3E5" w:rsidTr="00384BFA">
        <w:tc>
          <w:tcPr>
            <w:tcW w:w="2077" w:type="dxa"/>
          </w:tcPr>
          <w:p w14:paraId="0260B718" w14:textId="3F45C470"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Modusulumri</w:t>
            </w:r>
          </w:p>
        </w:tc>
        <w:tc>
          <w:tcPr>
            <w:tcW w:w="1816" w:type="dxa"/>
          </w:tcPr>
          <w:p w14:paraId="535CBC41" w14:textId="0A7DDE16"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37</w:t>
            </w:r>
          </w:p>
        </w:tc>
        <w:tc>
          <w:tcPr>
            <w:tcW w:w="1885" w:type="dxa"/>
          </w:tcPr>
          <w:p w14:paraId="27AEEDB9" w14:textId="40A9398B"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18</w:t>
            </w:r>
          </w:p>
        </w:tc>
        <w:tc>
          <w:tcPr>
            <w:tcW w:w="1911" w:type="dxa"/>
          </w:tcPr>
          <w:p w14:paraId="7CE29018" w14:textId="7DD3F259" w:rsidR="00384BFA" w:rsidRDefault="00384BFA" w:rsidP="0050180F">
            <w:pPr>
              <w:spacing w:line="360" w:lineRule="auto"/>
              <w:jc w:val="both"/>
              <w:rPr>
                <w:rFonts w:ascii="Times New Roman" w:eastAsia="Times New Roman" w:hAnsi="Times New Roman" w:cs="Times New Roman"/>
                <w:color w:val="333333"/>
                <w:sz w:val="24"/>
                <w:szCs w:val="23"/>
              </w:rPr>
            </w:pPr>
            <w:r>
              <w:rPr>
                <w:rFonts w:ascii="Times New Roman" w:eastAsia="Times New Roman" w:hAnsi="Times New Roman" w:cs="Times New Roman"/>
                <w:color w:val="333333"/>
                <w:sz w:val="24"/>
                <w:szCs w:val="23"/>
              </w:rPr>
              <w:t>55</w:t>
            </w:r>
          </w:p>
        </w:tc>
        <w:tc>
          <w:tcPr>
            <w:tcW w:w="1661" w:type="dxa"/>
            <w:vMerge/>
          </w:tcPr>
          <w:p w14:paraId="38F1E3AF" w14:textId="77777777" w:rsidR="00384BFA" w:rsidRDefault="00384BFA" w:rsidP="0050180F">
            <w:pPr>
              <w:spacing w:line="360" w:lineRule="auto"/>
              <w:jc w:val="both"/>
              <w:rPr>
                <w:rFonts w:ascii="Times New Roman" w:eastAsia="Times New Roman" w:hAnsi="Times New Roman" w:cs="Times New Roman"/>
                <w:color w:val="333333"/>
                <w:sz w:val="24"/>
                <w:szCs w:val="23"/>
              </w:rPr>
            </w:pPr>
          </w:p>
        </w:tc>
      </w:tr>
    </w:tbl>
    <w:p w14:paraId="67AEC363" w14:textId="368A9E08" w:rsidR="007725F9" w:rsidRDefault="007725F9" w:rsidP="0050180F">
      <w:pPr>
        <w:spacing w:line="360" w:lineRule="auto"/>
        <w:jc w:val="both"/>
        <w:rPr>
          <w:rFonts w:ascii="Times New Roman" w:eastAsia="Times New Roman" w:hAnsi="Times New Roman" w:cs="Times New Roman"/>
          <w:color w:val="333333"/>
          <w:sz w:val="24"/>
          <w:szCs w:val="23"/>
        </w:rPr>
      </w:pPr>
    </w:p>
    <w:p w14:paraId="4CD6956A" w14:textId="20F08A28" w:rsidR="008B56C3" w:rsidRPr="0050180F" w:rsidRDefault="008B56C3" w:rsidP="0050180F">
      <w:pPr>
        <w:spacing w:line="360" w:lineRule="auto"/>
        <w:jc w:val="both"/>
        <w:rPr>
          <w:rFonts w:ascii="Times New Roman" w:eastAsia="Times New Roman" w:hAnsi="Times New Roman" w:cs="Times New Roman"/>
          <w:b/>
          <w:color w:val="333333"/>
          <w:sz w:val="24"/>
          <w:szCs w:val="23"/>
        </w:rPr>
      </w:pPr>
      <w:r w:rsidRPr="0050180F">
        <w:rPr>
          <w:rFonts w:ascii="Times New Roman" w:eastAsia="Times New Roman" w:hAnsi="Times New Roman" w:cs="Times New Roman"/>
          <w:b/>
          <w:color w:val="333333"/>
          <w:sz w:val="24"/>
          <w:szCs w:val="23"/>
        </w:rPr>
        <w:t xml:space="preserve">Direct Feedback </w:t>
      </w:r>
    </w:p>
    <w:p w14:paraId="46F0E311" w14:textId="0B2927DD" w:rsidR="008B56C3" w:rsidRPr="0050180F" w:rsidRDefault="008B56C3" w:rsidP="0050180F">
      <w:pPr>
        <w:pStyle w:val="ListParagraph"/>
        <w:numPr>
          <w:ilvl w:val="0"/>
          <w:numId w:val="1"/>
        </w:numPr>
        <w:spacing w:line="360" w:lineRule="auto"/>
        <w:jc w:val="both"/>
        <w:rPr>
          <w:rFonts w:ascii="Times New Roman" w:eastAsia="Times New Roman" w:hAnsi="Times New Roman" w:cs="Times New Roman"/>
          <w:b/>
          <w:color w:val="333333"/>
          <w:sz w:val="24"/>
          <w:szCs w:val="23"/>
        </w:rPr>
      </w:pPr>
      <w:r w:rsidRPr="0050180F">
        <w:rPr>
          <w:rFonts w:ascii="Times New Roman" w:eastAsia="Times New Roman" w:hAnsi="Times New Roman" w:cs="Times New Roman"/>
          <w:color w:val="333333"/>
          <w:sz w:val="24"/>
          <w:szCs w:val="23"/>
        </w:rPr>
        <w:t>Few of the participants said that the reason why they do not report SEA in their communities is because of fear that they will not get aide from any humanitarian body.</w:t>
      </w:r>
    </w:p>
    <w:p w14:paraId="6D485671" w14:textId="30F9E878" w:rsidR="008B56C3" w:rsidRPr="0050180F" w:rsidRDefault="00B854D6" w:rsidP="0050180F">
      <w:pPr>
        <w:pStyle w:val="ListParagraph"/>
        <w:numPr>
          <w:ilvl w:val="0"/>
          <w:numId w:val="1"/>
        </w:numPr>
        <w:spacing w:line="360" w:lineRule="auto"/>
        <w:jc w:val="both"/>
        <w:rPr>
          <w:rFonts w:ascii="Times New Roman" w:eastAsia="Times New Roman" w:hAnsi="Times New Roman" w:cs="Times New Roman"/>
          <w:b/>
          <w:color w:val="333333"/>
          <w:sz w:val="24"/>
          <w:szCs w:val="23"/>
        </w:rPr>
      </w:pPr>
      <w:r w:rsidRPr="0050180F">
        <w:rPr>
          <w:rFonts w:ascii="Times New Roman" w:eastAsia="Times New Roman" w:hAnsi="Times New Roman" w:cs="Times New Roman"/>
          <w:color w:val="333333"/>
          <w:sz w:val="24"/>
          <w:szCs w:val="23"/>
        </w:rPr>
        <w:t>Some of the participants said that they would prefer having direct contact when reporting SEA because of fear of corruption from their community leaders.</w:t>
      </w:r>
    </w:p>
    <w:p w14:paraId="61450C68" w14:textId="2ACA2CA8" w:rsidR="00B854D6" w:rsidRPr="0050180F" w:rsidRDefault="00B854D6" w:rsidP="0050180F">
      <w:pPr>
        <w:pStyle w:val="ListParagraph"/>
        <w:numPr>
          <w:ilvl w:val="0"/>
          <w:numId w:val="1"/>
        </w:numPr>
        <w:spacing w:line="360" w:lineRule="auto"/>
        <w:jc w:val="both"/>
        <w:rPr>
          <w:rFonts w:ascii="Times New Roman" w:eastAsia="Times New Roman" w:hAnsi="Times New Roman" w:cs="Times New Roman"/>
          <w:b/>
          <w:color w:val="333333"/>
          <w:sz w:val="24"/>
          <w:szCs w:val="23"/>
        </w:rPr>
      </w:pPr>
      <w:r w:rsidRPr="0050180F">
        <w:rPr>
          <w:rFonts w:ascii="Times New Roman" w:eastAsia="Times New Roman" w:hAnsi="Times New Roman" w:cs="Times New Roman"/>
          <w:color w:val="333333"/>
          <w:sz w:val="24"/>
          <w:szCs w:val="23"/>
        </w:rPr>
        <w:lastRenderedPageBreak/>
        <w:t>Some of the women from Gwange community suggest they need awareness on proper channels to report SEA in their community because they do not know of the proper reporting channels</w:t>
      </w:r>
    </w:p>
    <w:p w14:paraId="6065AA26" w14:textId="42ECF927" w:rsidR="0016598E" w:rsidRPr="004B68BF" w:rsidRDefault="00B854D6" w:rsidP="0050180F">
      <w:pPr>
        <w:pStyle w:val="ListParagraph"/>
        <w:numPr>
          <w:ilvl w:val="0"/>
          <w:numId w:val="1"/>
        </w:numPr>
        <w:spacing w:line="360" w:lineRule="auto"/>
        <w:jc w:val="both"/>
        <w:rPr>
          <w:rFonts w:ascii="Times New Roman" w:eastAsia="Times New Roman" w:hAnsi="Times New Roman" w:cs="Times New Roman"/>
          <w:b/>
          <w:color w:val="333333"/>
          <w:sz w:val="24"/>
          <w:szCs w:val="23"/>
        </w:rPr>
      </w:pPr>
      <w:r w:rsidRPr="0050180F">
        <w:rPr>
          <w:rFonts w:ascii="Times New Roman" w:eastAsia="Times New Roman" w:hAnsi="Times New Roman" w:cs="Times New Roman"/>
          <w:color w:val="333333"/>
          <w:sz w:val="24"/>
          <w:szCs w:val="23"/>
        </w:rPr>
        <w:t>Some of teens and</w:t>
      </w:r>
      <w:r w:rsidR="0016598E" w:rsidRPr="0050180F">
        <w:rPr>
          <w:rFonts w:ascii="Times New Roman" w:eastAsia="Times New Roman" w:hAnsi="Times New Roman" w:cs="Times New Roman"/>
          <w:color w:val="333333"/>
          <w:sz w:val="24"/>
          <w:szCs w:val="23"/>
        </w:rPr>
        <w:t xml:space="preserve"> children that participated in during the assessment from Gwange and Modusulumri communities gave their feedback that they cannot report SEA because they have to go through their parents and most times they are accused of not telling the truth and are asked to shut-up.</w:t>
      </w:r>
    </w:p>
    <w:p w14:paraId="181F13D4" w14:textId="2D436A1C" w:rsidR="004B68BF" w:rsidRPr="0050180F" w:rsidRDefault="004B68BF" w:rsidP="0050180F">
      <w:pPr>
        <w:pStyle w:val="ListParagraph"/>
        <w:numPr>
          <w:ilvl w:val="0"/>
          <w:numId w:val="1"/>
        </w:numPr>
        <w:spacing w:line="360" w:lineRule="auto"/>
        <w:jc w:val="both"/>
        <w:rPr>
          <w:rFonts w:ascii="Times New Roman" w:eastAsia="Times New Roman" w:hAnsi="Times New Roman" w:cs="Times New Roman"/>
          <w:b/>
          <w:color w:val="333333"/>
          <w:sz w:val="24"/>
          <w:szCs w:val="23"/>
        </w:rPr>
      </w:pPr>
      <w:r>
        <w:rPr>
          <w:rFonts w:ascii="Times New Roman" w:eastAsia="Times New Roman" w:hAnsi="Times New Roman" w:cs="Times New Roman"/>
          <w:color w:val="333333"/>
          <w:sz w:val="24"/>
          <w:szCs w:val="23"/>
        </w:rPr>
        <w:t>Some of them don’t report SEA for fear of stigmatization from the community members and fear of the futu</w:t>
      </w:r>
      <w:r w:rsidR="00850205">
        <w:rPr>
          <w:rFonts w:ascii="Times New Roman" w:eastAsia="Times New Roman" w:hAnsi="Times New Roman" w:cs="Times New Roman"/>
          <w:color w:val="333333"/>
          <w:sz w:val="24"/>
          <w:szCs w:val="23"/>
        </w:rPr>
        <w:t>re</w:t>
      </w:r>
      <w:r w:rsidR="00D52EFC">
        <w:rPr>
          <w:rFonts w:ascii="Times New Roman" w:eastAsia="Times New Roman" w:hAnsi="Times New Roman" w:cs="Times New Roman"/>
          <w:color w:val="333333"/>
          <w:sz w:val="24"/>
          <w:szCs w:val="23"/>
        </w:rPr>
        <w:t>.</w:t>
      </w:r>
    </w:p>
    <w:p w14:paraId="3EBB1966" w14:textId="77D1BD31" w:rsidR="00B854D6" w:rsidRDefault="0016598E" w:rsidP="0050180F">
      <w:pPr>
        <w:spacing w:line="360" w:lineRule="auto"/>
        <w:ind w:left="360"/>
        <w:jc w:val="both"/>
        <w:rPr>
          <w:rFonts w:ascii="Times New Roman" w:eastAsia="Times New Roman" w:hAnsi="Times New Roman" w:cs="Times New Roman"/>
          <w:b/>
          <w:bCs/>
          <w:color w:val="333333"/>
          <w:sz w:val="24"/>
          <w:szCs w:val="23"/>
        </w:rPr>
      </w:pPr>
      <w:r w:rsidRPr="0050180F">
        <w:rPr>
          <w:rFonts w:ascii="Times New Roman" w:eastAsia="Times New Roman" w:hAnsi="Times New Roman" w:cs="Times New Roman"/>
          <w:color w:val="333333"/>
          <w:sz w:val="24"/>
          <w:szCs w:val="23"/>
        </w:rPr>
        <w:t xml:space="preserve"> </w:t>
      </w:r>
      <w:r w:rsidR="00EB2A6E">
        <w:rPr>
          <w:rFonts w:ascii="Times New Roman" w:eastAsia="Times New Roman" w:hAnsi="Times New Roman" w:cs="Times New Roman"/>
          <w:b/>
          <w:bCs/>
          <w:color w:val="333333"/>
          <w:sz w:val="24"/>
          <w:szCs w:val="23"/>
        </w:rPr>
        <w:t>Recommendations</w:t>
      </w:r>
    </w:p>
    <w:p w14:paraId="0B05ED6C" w14:textId="76764B61" w:rsidR="00A73125" w:rsidRPr="00EB2A6E" w:rsidRDefault="00EB2A6E" w:rsidP="00A73125">
      <w:pPr>
        <w:pStyle w:val="ListParagraph"/>
        <w:numPr>
          <w:ilvl w:val="0"/>
          <w:numId w:val="2"/>
        </w:numPr>
        <w:spacing w:line="360" w:lineRule="auto"/>
        <w:jc w:val="both"/>
        <w:rPr>
          <w:rFonts w:ascii="Times New Roman" w:eastAsia="Times New Roman" w:hAnsi="Times New Roman" w:cs="Times New Roman"/>
          <w:b/>
          <w:bCs/>
          <w:color w:val="333333"/>
          <w:sz w:val="24"/>
          <w:szCs w:val="23"/>
        </w:rPr>
      </w:pPr>
      <w:r>
        <w:rPr>
          <w:rFonts w:ascii="Times New Roman" w:eastAsia="Times New Roman" w:hAnsi="Times New Roman" w:cs="Times New Roman"/>
          <w:color w:val="333333"/>
          <w:sz w:val="24"/>
          <w:szCs w:val="23"/>
        </w:rPr>
        <w:t>Provision of toll-free lines, Suggestion box for reporting SEA in the affected communities.</w:t>
      </w:r>
    </w:p>
    <w:p w14:paraId="02D2BEB9" w14:textId="0F2AEE0D" w:rsidR="00EB2A6E" w:rsidRPr="00962738" w:rsidRDefault="00070E74" w:rsidP="00A73125">
      <w:pPr>
        <w:pStyle w:val="ListParagraph"/>
        <w:numPr>
          <w:ilvl w:val="0"/>
          <w:numId w:val="2"/>
        </w:numPr>
        <w:spacing w:line="360" w:lineRule="auto"/>
        <w:jc w:val="both"/>
        <w:rPr>
          <w:rFonts w:ascii="Times New Roman" w:eastAsia="Times New Roman" w:hAnsi="Times New Roman" w:cs="Times New Roman"/>
          <w:b/>
          <w:bCs/>
          <w:color w:val="333333"/>
          <w:sz w:val="24"/>
          <w:szCs w:val="23"/>
        </w:rPr>
      </w:pPr>
      <w:r>
        <w:rPr>
          <w:rFonts w:ascii="Times New Roman" w:eastAsia="Times New Roman" w:hAnsi="Times New Roman" w:cs="Times New Roman"/>
          <w:color w:val="333333"/>
          <w:sz w:val="24"/>
          <w:szCs w:val="23"/>
        </w:rPr>
        <w:t xml:space="preserve">Most of the participants that participated during the assessment </w:t>
      </w:r>
      <w:r w:rsidR="00962738">
        <w:rPr>
          <w:rFonts w:ascii="Times New Roman" w:eastAsia="Times New Roman" w:hAnsi="Times New Roman" w:cs="Times New Roman"/>
          <w:color w:val="333333"/>
          <w:sz w:val="24"/>
          <w:szCs w:val="23"/>
        </w:rPr>
        <w:t xml:space="preserve">have also shown interest in skill </w:t>
      </w:r>
      <w:r w:rsidR="00F93878">
        <w:rPr>
          <w:rFonts w:ascii="Times New Roman" w:eastAsia="Times New Roman" w:hAnsi="Times New Roman" w:cs="Times New Roman"/>
          <w:color w:val="333333"/>
          <w:sz w:val="24"/>
          <w:szCs w:val="23"/>
        </w:rPr>
        <w:t>acquisition program</w:t>
      </w:r>
      <w:r w:rsidR="00962738">
        <w:rPr>
          <w:rFonts w:ascii="Times New Roman" w:eastAsia="Times New Roman" w:hAnsi="Times New Roman" w:cs="Times New Roman"/>
          <w:color w:val="333333"/>
          <w:sz w:val="24"/>
          <w:szCs w:val="23"/>
        </w:rPr>
        <w:t xml:space="preserve"> to support their means of livelihood.</w:t>
      </w:r>
    </w:p>
    <w:p w14:paraId="2E0E85EA" w14:textId="42E2B1B1" w:rsidR="00962738" w:rsidRPr="00F93878" w:rsidRDefault="00F93878" w:rsidP="00A73125">
      <w:pPr>
        <w:pStyle w:val="ListParagraph"/>
        <w:numPr>
          <w:ilvl w:val="0"/>
          <w:numId w:val="2"/>
        </w:numPr>
        <w:spacing w:line="360" w:lineRule="auto"/>
        <w:jc w:val="both"/>
        <w:rPr>
          <w:rFonts w:ascii="Times New Roman" w:eastAsia="Times New Roman" w:hAnsi="Times New Roman" w:cs="Times New Roman"/>
          <w:b/>
          <w:bCs/>
          <w:color w:val="333333"/>
          <w:sz w:val="24"/>
          <w:szCs w:val="23"/>
        </w:rPr>
      </w:pPr>
      <w:r>
        <w:rPr>
          <w:rFonts w:ascii="Times New Roman" w:eastAsia="Times New Roman" w:hAnsi="Times New Roman" w:cs="Times New Roman"/>
          <w:color w:val="333333"/>
          <w:sz w:val="24"/>
          <w:szCs w:val="23"/>
        </w:rPr>
        <w:t>Participants suggested more sensitization and awareness most especially to men and young women about sexual exploitation and abuse.</w:t>
      </w:r>
    </w:p>
    <w:p w14:paraId="0DC7BE74" w14:textId="6854FB10" w:rsidR="00F93878" w:rsidRPr="00A73125" w:rsidRDefault="007725F9" w:rsidP="00A73125">
      <w:pPr>
        <w:pStyle w:val="ListParagraph"/>
        <w:numPr>
          <w:ilvl w:val="0"/>
          <w:numId w:val="2"/>
        </w:numPr>
        <w:spacing w:line="360" w:lineRule="auto"/>
        <w:jc w:val="both"/>
        <w:rPr>
          <w:rFonts w:ascii="Times New Roman" w:eastAsia="Times New Roman" w:hAnsi="Times New Roman" w:cs="Times New Roman"/>
          <w:b/>
          <w:bCs/>
          <w:color w:val="333333"/>
          <w:sz w:val="24"/>
          <w:szCs w:val="23"/>
        </w:rPr>
      </w:pPr>
      <w:r>
        <w:rPr>
          <w:rFonts w:ascii="Times New Roman" w:eastAsia="Times New Roman" w:hAnsi="Times New Roman" w:cs="Times New Roman"/>
          <w:color w:val="333333"/>
          <w:sz w:val="24"/>
          <w:szCs w:val="23"/>
        </w:rPr>
        <w:t>More channels of sensitization and awareness in worship places.</w:t>
      </w:r>
    </w:p>
    <w:p w14:paraId="37CA185A" w14:textId="5024383E" w:rsidR="00C075DF" w:rsidRPr="0050180F" w:rsidRDefault="00E14CDA" w:rsidP="0050180F">
      <w:pPr>
        <w:spacing w:line="360" w:lineRule="auto"/>
        <w:jc w:val="both"/>
        <w:rPr>
          <w:rFonts w:ascii="Times New Roman" w:eastAsia="Times New Roman" w:hAnsi="Times New Roman" w:cs="Times New Roman"/>
          <w:color w:val="333333"/>
          <w:sz w:val="23"/>
          <w:szCs w:val="23"/>
        </w:rPr>
      </w:pPr>
      <w:r>
        <w:rPr>
          <w:rFonts w:ascii="Times New Roman" w:eastAsia="Times New Roman" w:hAnsi="Times New Roman" w:cs="Times New Roman"/>
          <w:noProof/>
          <w:color w:val="333333"/>
          <w:sz w:val="23"/>
          <w:szCs w:val="23"/>
        </w:rPr>
        <w:drawing>
          <wp:inline distT="0" distB="0" distL="0" distR="0" wp14:anchorId="39A30802" wp14:editId="3BA97A6C">
            <wp:extent cx="2647950" cy="178648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5304" cy="1798193"/>
                    </a:xfrm>
                    <a:prstGeom prst="rect">
                      <a:avLst/>
                    </a:prstGeom>
                  </pic:spPr>
                </pic:pic>
              </a:graphicData>
            </a:graphic>
          </wp:inline>
        </w:drawing>
      </w:r>
      <w:r w:rsidR="00251A88">
        <w:rPr>
          <w:rFonts w:ascii="Times New Roman" w:eastAsia="Times New Roman" w:hAnsi="Times New Roman" w:cs="Times New Roman"/>
          <w:color w:val="333333"/>
          <w:sz w:val="23"/>
          <w:szCs w:val="23"/>
        </w:rPr>
        <w:t xml:space="preserve"> </w:t>
      </w:r>
      <w:r w:rsidR="00C25299">
        <w:rPr>
          <w:rFonts w:ascii="Times New Roman" w:hAnsi="Times New Roman" w:cs="Times New Roman"/>
          <w:noProof/>
        </w:rPr>
        <w:drawing>
          <wp:inline distT="0" distB="0" distL="0" distR="0" wp14:anchorId="0CCBA829" wp14:editId="49A5BAD0">
            <wp:extent cx="2638425" cy="17574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258" cy="1758649"/>
                    </a:xfrm>
                    <a:prstGeom prst="rect">
                      <a:avLst/>
                    </a:prstGeom>
                  </pic:spPr>
                </pic:pic>
              </a:graphicData>
            </a:graphic>
          </wp:inline>
        </w:drawing>
      </w:r>
    </w:p>
    <w:p w14:paraId="170452AC" w14:textId="52A1C3D3" w:rsidR="007177CD" w:rsidRPr="0050180F" w:rsidRDefault="00405267" w:rsidP="0050180F">
      <w:pPr>
        <w:spacing w:line="360" w:lineRule="auto"/>
        <w:jc w:val="both"/>
        <w:rPr>
          <w:rFonts w:ascii="Times New Roman" w:eastAsia="Times New Roman" w:hAnsi="Times New Roman" w:cs="Times New Roman"/>
          <w:color w:val="333333"/>
          <w:sz w:val="23"/>
          <w:szCs w:val="23"/>
        </w:rPr>
      </w:pPr>
      <w:r>
        <w:rPr>
          <w:rFonts w:ascii="Times New Roman" w:hAnsi="Times New Roman" w:cs="Times New Roman"/>
          <w:noProof/>
        </w:rPr>
        <w:lastRenderedPageBreak/>
        <w:drawing>
          <wp:inline distT="0" distB="0" distL="0" distR="0" wp14:anchorId="795EABF3" wp14:editId="026782B9">
            <wp:extent cx="2628900" cy="174951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8047" cy="1788874"/>
                    </a:xfrm>
                    <a:prstGeom prst="rect">
                      <a:avLst/>
                    </a:prstGeom>
                  </pic:spPr>
                </pic:pic>
              </a:graphicData>
            </a:graphic>
          </wp:inline>
        </w:drawing>
      </w:r>
      <w:r w:rsidR="002C16E9" w:rsidRPr="0050180F">
        <w:rPr>
          <w:rFonts w:ascii="Times New Roman" w:eastAsia="Times New Roman" w:hAnsi="Times New Roman" w:cs="Times New Roman"/>
          <w:color w:val="333333"/>
          <w:sz w:val="23"/>
          <w:szCs w:val="23"/>
        </w:rPr>
        <w:t xml:space="preserve">  </w:t>
      </w:r>
      <w:r w:rsidR="009B49BF">
        <w:rPr>
          <w:rFonts w:ascii="Times New Roman" w:hAnsi="Times New Roman" w:cs="Times New Roman"/>
          <w:noProof/>
        </w:rPr>
        <w:drawing>
          <wp:inline distT="0" distB="0" distL="0" distR="0" wp14:anchorId="22E24D78" wp14:editId="5A578521">
            <wp:extent cx="2614997" cy="17418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4997" cy="1741823"/>
                    </a:xfrm>
                    <a:prstGeom prst="rect">
                      <a:avLst/>
                    </a:prstGeom>
                  </pic:spPr>
                </pic:pic>
              </a:graphicData>
            </a:graphic>
          </wp:inline>
        </w:drawing>
      </w:r>
    </w:p>
    <w:p w14:paraId="771CA29D" w14:textId="0E0A9ECF" w:rsidR="007177CD" w:rsidRDefault="007177CD" w:rsidP="0050180F">
      <w:pPr>
        <w:spacing w:line="360" w:lineRule="auto"/>
        <w:jc w:val="both"/>
        <w:rPr>
          <w:rFonts w:ascii="Times New Roman" w:hAnsi="Times New Roman" w:cs="Times New Roman"/>
        </w:rPr>
      </w:pPr>
    </w:p>
    <w:p w14:paraId="1E4C6737" w14:textId="74206A2A" w:rsidR="00E14CDA" w:rsidRDefault="00E14CDA" w:rsidP="0050180F">
      <w:pPr>
        <w:spacing w:line="360" w:lineRule="auto"/>
        <w:jc w:val="both"/>
        <w:rPr>
          <w:rFonts w:ascii="Times New Roman" w:hAnsi="Times New Roman" w:cs="Times New Roman"/>
        </w:rPr>
      </w:pPr>
    </w:p>
    <w:p w14:paraId="1A95CE83" w14:textId="1C927B03" w:rsidR="00E14CDA" w:rsidRDefault="00E14CDA" w:rsidP="0050180F">
      <w:pPr>
        <w:spacing w:line="360" w:lineRule="auto"/>
        <w:jc w:val="both"/>
        <w:rPr>
          <w:rFonts w:ascii="Times New Roman" w:hAnsi="Times New Roman" w:cs="Times New Roman"/>
        </w:rPr>
      </w:pPr>
    </w:p>
    <w:p w14:paraId="3A85DAF6" w14:textId="499D3E08" w:rsidR="00E14CDA" w:rsidRDefault="00E14CDA" w:rsidP="0050180F">
      <w:pPr>
        <w:spacing w:line="360" w:lineRule="auto"/>
        <w:jc w:val="both"/>
        <w:rPr>
          <w:rFonts w:ascii="Times New Roman" w:hAnsi="Times New Roman" w:cs="Times New Roman"/>
        </w:rPr>
      </w:pPr>
    </w:p>
    <w:p w14:paraId="306193A5" w14:textId="34970277" w:rsidR="00E14CDA" w:rsidRDefault="00E14CDA" w:rsidP="0050180F">
      <w:pPr>
        <w:spacing w:line="360" w:lineRule="auto"/>
        <w:jc w:val="both"/>
        <w:rPr>
          <w:rFonts w:ascii="Times New Roman" w:hAnsi="Times New Roman" w:cs="Times New Roman"/>
        </w:rPr>
      </w:pPr>
    </w:p>
    <w:p w14:paraId="3E95BE87" w14:textId="4B801E82" w:rsidR="00E14CDA" w:rsidRDefault="00E14CDA" w:rsidP="0050180F">
      <w:pPr>
        <w:spacing w:line="360" w:lineRule="auto"/>
        <w:jc w:val="both"/>
        <w:rPr>
          <w:rFonts w:ascii="Times New Roman" w:hAnsi="Times New Roman" w:cs="Times New Roman"/>
        </w:rPr>
      </w:pPr>
    </w:p>
    <w:p w14:paraId="50F20E0F" w14:textId="711236B4" w:rsidR="00E14CDA" w:rsidRDefault="00E14CDA" w:rsidP="0050180F">
      <w:pPr>
        <w:spacing w:line="360" w:lineRule="auto"/>
        <w:jc w:val="both"/>
        <w:rPr>
          <w:rFonts w:ascii="Times New Roman" w:hAnsi="Times New Roman" w:cs="Times New Roman"/>
        </w:rPr>
      </w:pPr>
    </w:p>
    <w:p w14:paraId="62C98EC0" w14:textId="773FF9EB" w:rsidR="00E14CDA" w:rsidRDefault="00E14CDA" w:rsidP="0050180F">
      <w:pPr>
        <w:spacing w:line="360" w:lineRule="auto"/>
        <w:jc w:val="both"/>
        <w:rPr>
          <w:rFonts w:ascii="Times New Roman" w:hAnsi="Times New Roman" w:cs="Times New Roman"/>
        </w:rPr>
      </w:pPr>
    </w:p>
    <w:p w14:paraId="78FDDBFD" w14:textId="25C06793" w:rsidR="00E14CDA" w:rsidRPr="0050180F" w:rsidRDefault="00E14CDA" w:rsidP="0050180F">
      <w:pPr>
        <w:spacing w:line="360" w:lineRule="auto"/>
        <w:jc w:val="both"/>
        <w:rPr>
          <w:rFonts w:ascii="Times New Roman" w:hAnsi="Times New Roman" w:cs="Times New Roman"/>
        </w:rPr>
      </w:pPr>
    </w:p>
    <w:sectPr w:rsidR="00E14CDA" w:rsidRPr="0050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D5777"/>
    <w:multiLevelType w:val="hybridMultilevel"/>
    <w:tmpl w:val="8E328612"/>
    <w:lvl w:ilvl="0" w:tplc="A4060D8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5C659A7"/>
    <w:multiLevelType w:val="hybridMultilevel"/>
    <w:tmpl w:val="4A506440"/>
    <w:lvl w:ilvl="0" w:tplc="A4060D8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525816">
    <w:abstractNumId w:val="1"/>
  </w:num>
  <w:num w:numId="2" w16cid:durableId="19110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CC"/>
    <w:rsid w:val="000208BB"/>
    <w:rsid w:val="000325D5"/>
    <w:rsid w:val="00070E74"/>
    <w:rsid w:val="000D1B0C"/>
    <w:rsid w:val="0016598E"/>
    <w:rsid w:val="001752D7"/>
    <w:rsid w:val="00177276"/>
    <w:rsid w:val="001B0875"/>
    <w:rsid w:val="001E3C2E"/>
    <w:rsid w:val="001F2A73"/>
    <w:rsid w:val="00251A88"/>
    <w:rsid w:val="0025750A"/>
    <w:rsid w:val="002A16CA"/>
    <w:rsid w:val="002B269F"/>
    <w:rsid w:val="002C16E9"/>
    <w:rsid w:val="002C789E"/>
    <w:rsid w:val="00300124"/>
    <w:rsid w:val="00373FD0"/>
    <w:rsid w:val="00383B21"/>
    <w:rsid w:val="00384BFA"/>
    <w:rsid w:val="003A2FB0"/>
    <w:rsid w:val="003D4B8C"/>
    <w:rsid w:val="00405267"/>
    <w:rsid w:val="00492063"/>
    <w:rsid w:val="004B68BF"/>
    <w:rsid w:val="004C0E85"/>
    <w:rsid w:val="004C544E"/>
    <w:rsid w:val="004E135C"/>
    <w:rsid w:val="0050180F"/>
    <w:rsid w:val="005C7125"/>
    <w:rsid w:val="005C7883"/>
    <w:rsid w:val="00607ECB"/>
    <w:rsid w:val="0061412F"/>
    <w:rsid w:val="0063156B"/>
    <w:rsid w:val="00683780"/>
    <w:rsid w:val="006E3E6E"/>
    <w:rsid w:val="00705C33"/>
    <w:rsid w:val="007134E4"/>
    <w:rsid w:val="007177CD"/>
    <w:rsid w:val="00723A97"/>
    <w:rsid w:val="007547B6"/>
    <w:rsid w:val="007564A3"/>
    <w:rsid w:val="00757CBB"/>
    <w:rsid w:val="00765FBB"/>
    <w:rsid w:val="007725F9"/>
    <w:rsid w:val="007E4112"/>
    <w:rsid w:val="00850205"/>
    <w:rsid w:val="00870AB8"/>
    <w:rsid w:val="008B56C3"/>
    <w:rsid w:val="008D60CA"/>
    <w:rsid w:val="00903E67"/>
    <w:rsid w:val="00962738"/>
    <w:rsid w:val="00971E55"/>
    <w:rsid w:val="009A608F"/>
    <w:rsid w:val="009B49BF"/>
    <w:rsid w:val="009C5290"/>
    <w:rsid w:val="00A02EF4"/>
    <w:rsid w:val="00A73125"/>
    <w:rsid w:val="00A83EAA"/>
    <w:rsid w:val="00B25E99"/>
    <w:rsid w:val="00B32ACD"/>
    <w:rsid w:val="00B45E69"/>
    <w:rsid w:val="00B854D6"/>
    <w:rsid w:val="00BE1AE0"/>
    <w:rsid w:val="00BE1DCB"/>
    <w:rsid w:val="00C075DF"/>
    <w:rsid w:val="00C11A5C"/>
    <w:rsid w:val="00C24D5A"/>
    <w:rsid w:val="00C25299"/>
    <w:rsid w:val="00C54F9A"/>
    <w:rsid w:val="00CB6ED1"/>
    <w:rsid w:val="00CC4B86"/>
    <w:rsid w:val="00D318FC"/>
    <w:rsid w:val="00D52EFC"/>
    <w:rsid w:val="00D81876"/>
    <w:rsid w:val="00DF2DF9"/>
    <w:rsid w:val="00E14CDA"/>
    <w:rsid w:val="00E558CC"/>
    <w:rsid w:val="00E826B3"/>
    <w:rsid w:val="00E84459"/>
    <w:rsid w:val="00EB2A6E"/>
    <w:rsid w:val="00EC149D"/>
    <w:rsid w:val="00EC58A5"/>
    <w:rsid w:val="00F53CEC"/>
    <w:rsid w:val="00F867F3"/>
    <w:rsid w:val="00F93878"/>
    <w:rsid w:val="00F9461D"/>
    <w:rsid w:val="00FB7711"/>
    <w:rsid w:val="00FD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5862"/>
  <w15:chartTrackingRefBased/>
  <w15:docId w15:val="{3B8D355D-8C3A-4F9C-81AC-15691E76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6C3"/>
    <w:pPr>
      <w:ind w:left="720"/>
      <w:contextualSpacing/>
    </w:pPr>
  </w:style>
  <w:style w:type="table" w:styleId="TableGrid">
    <w:name w:val="Table Grid"/>
    <w:basedOn w:val="TableNormal"/>
    <w:uiPriority w:val="39"/>
    <w:rsid w:val="0077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AE44-3893-4F44-8646-3BE8CB14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Endless Com</dc:creator>
  <cp:keywords/>
  <dc:description/>
  <cp:lastModifiedBy>Joel Josh</cp:lastModifiedBy>
  <cp:revision>76</cp:revision>
  <dcterms:created xsi:type="dcterms:W3CDTF">2022-10-28T18:14:00Z</dcterms:created>
  <dcterms:modified xsi:type="dcterms:W3CDTF">2022-11-03T10:18:00Z</dcterms:modified>
</cp:coreProperties>
</file>