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46F" w:rsidRPr="00316904" w:rsidRDefault="0023346F" w:rsidP="0023346F">
      <w:pPr>
        <w:spacing w:after="160" w:line="360" w:lineRule="auto"/>
        <w:jc w:val="both"/>
        <w:rPr>
          <w:rFonts w:ascii="Arial" w:eastAsia="Times New Roman" w:hAnsi="Arial" w:cs="Arial"/>
          <w:b/>
          <w:bCs/>
          <w:i/>
          <w:noProof/>
          <w:lang w:eastAsia="fr-FR"/>
        </w:rPr>
      </w:pPr>
      <w:r w:rsidRPr="00316904">
        <w:rPr>
          <w:rFonts w:ascii="Arial" w:eastAsia="Times New Roman" w:hAnsi="Arial" w:cs="Arial"/>
          <w:b/>
          <w:bCs/>
          <w:i/>
          <w:noProof/>
          <w:lang w:eastAsia="fr-FR"/>
        </w:rPr>
        <w:drawing>
          <wp:anchor distT="0" distB="0" distL="114300" distR="114300" simplePos="0" relativeHeight="251661312" behindDoc="0" locked="0" layoutInCell="1" allowOverlap="1" wp14:anchorId="35D589BB" wp14:editId="5C11993B">
            <wp:simplePos x="0" y="0"/>
            <wp:positionH relativeFrom="column">
              <wp:posOffset>-52070</wp:posOffset>
            </wp:positionH>
            <wp:positionV relativeFrom="paragraph">
              <wp:posOffset>-423545</wp:posOffset>
            </wp:positionV>
            <wp:extent cx="5729605" cy="44767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65639"/>
                    <a:stretch/>
                  </pic:blipFill>
                  <pic:spPr bwMode="auto">
                    <a:xfrm>
                      <a:off x="0" y="0"/>
                      <a:ext cx="5729605" cy="447675"/>
                    </a:xfrm>
                    <a:prstGeom prst="rect">
                      <a:avLst/>
                    </a:prstGeom>
                    <a:noFill/>
                    <a:ln>
                      <a:noFill/>
                    </a:ln>
                    <a:extLst>
                      <a:ext uri="{53640926-AAD7-44D8-BBD7-CCE9431645EC}">
                        <a14:shadowObscured xmlns:a14="http://schemas.microsoft.com/office/drawing/2010/main"/>
                      </a:ext>
                    </a:extLst>
                  </pic:spPr>
                </pic:pic>
              </a:graphicData>
            </a:graphic>
          </wp:anchor>
        </w:drawing>
      </w:r>
    </w:p>
    <w:p w:rsidR="0023346F" w:rsidRPr="00316904" w:rsidRDefault="0023346F" w:rsidP="0023346F">
      <w:pPr>
        <w:spacing w:after="160" w:line="360" w:lineRule="auto"/>
        <w:ind w:firstLine="708"/>
        <w:jc w:val="both"/>
        <w:rPr>
          <w:rFonts w:ascii="Arial" w:eastAsia="Calibri" w:hAnsi="Arial" w:cs="Arial"/>
        </w:rPr>
      </w:pPr>
      <w:r w:rsidRPr="00316904">
        <w:rPr>
          <w:rFonts w:ascii="Arial" w:eastAsia="Calibri" w:hAnsi="Arial" w:cs="Arial"/>
          <w:noProof/>
          <w:lang w:eastAsia="fr-FR"/>
        </w:rPr>
        <mc:AlternateContent>
          <mc:Choice Requires="wps">
            <w:drawing>
              <wp:anchor distT="0" distB="0" distL="114300" distR="114300" simplePos="0" relativeHeight="251659264" behindDoc="0" locked="0" layoutInCell="1" allowOverlap="1" wp14:anchorId="2A306585" wp14:editId="1DB3672D">
                <wp:simplePos x="0" y="0"/>
                <wp:positionH relativeFrom="page">
                  <wp:align>left</wp:align>
                </wp:positionH>
                <wp:positionV relativeFrom="paragraph">
                  <wp:posOffset>201930</wp:posOffset>
                </wp:positionV>
                <wp:extent cx="10355580" cy="0"/>
                <wp:effectExtent l="0" t="19050" r="45720" b="38100"/>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5580" cy="0"/>
                        </a:xfrm>
                        <a:prstGeom prst="line">
                          <a:avLst/>
                        </a:prstGeom>
                        <a:noFill/>
                        <a:ln w="57150" cmpd="thinThick">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46E82" id="Connecteur droit 28"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5.9pt" to="815.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" strokecolor="navy" strokeweight="4.5pt">
                <v:stroke linestyle="thinThick"/>
                <w10:wrap anchorx="page"/>
              </v:line>
            </w:pict>
          </mc:Fallback>
        </mc:AlternateContent>
      </w:r>
    </w:p>
    <w:p w:rsidR="0023346F" w:rsidRPr="00316904" w:rsidRDefault="0023346F" w:rsidP="0023346F">
      <w:pPr>
        <w:spacing w:after="160" w:line="360" w:lineRule="auto"/>
        <w:jc w:val="both"/>
        <w:rPr>
          <w:rFonts w:ascii="Arial" w:eastAsia="Calibri" w:hAnsi="Arial" w:cs="Arial"/>
        </w:rPr>
      </w:pPr>
    </w:p>
    <w:p w:rsidR="0023346F" w:rsidRPr="00316904" w:rsidRDefault="0023346F" w:rsidP="0023346F">
      <w:pPr>
        <w:spacing w:after="160" w:line="360" w:lineRule="auto"/>
        <w:jc w:val="both"/>
        <w:rPr>
          <w:rFonts w:ascii="Arial" w:eastAsia="Calibri" w:hAnsi="Arial" w:cs="Arial"/>
        </w:rPr>
      </w:pPr>
    </w:p>
    <w:p w:rsidR="0023346F" w:rsidRPr="00316904" w:rsidRDefault="0023346F" w:rsidP="0023346F">
      <w:pPr>
        <w:spacing w:after="160" w:line="360" w:lineRule="auto"/>
        <w:jc w:val="both"/>
        <w:rPr>
          <w:rFonts w:ascii="Arial" w:eastAsia="Calibri" w:hAnsi="Arial" w:cs="Arial"/>
        </w:rPr>
      </w:pPr>
    </w:p>
    <w:p w:rsidR="0023346F" w:rsidRPr="00316904" w:rsidRDefault="0023346F" w:rsidP="0023346F">
      <w:pPr>
        <w:spacing w:after="160" w:line="360" w:lineRule="auto"/>
        <w:jc w:val="both"/>
        <w:rPr>
          <w:rFonts w:ascii="Arial" w:eastAsia="Calibri" w:hAnsi="Arial" w:cs="Arial"/>
        </w:rPr>
      </w:pPr>
    </w:p>
    <w:p w:rsidR="0023346F" w:rsidRPr="00316904" w:rsidRDefault="0023346F" w:rsidP="0023346F">
      <w:pPr>
        <w:tabs>
          <w:tab w:val="left" w:pos="3420"/>
        </w:tabs>
        <w:spacing w:after="160" w:line="240" w:lineRule="auto"/>
        <w:jc w:val="center"/>
        <w:rPr>
          <w:rFonts w:ascii="Arial" w:eastAsia="Calibri" w:hAnsi="Arial" w:cs="Arial"/>
          <w:b/>
          <w:i/>
        </w:rPr>
      </w:pPr>
      <w:r w:rsidRPr="00316904">
        <w:rPr>
          <w:rFonts w:ascii="Arial" w:eastAsia="Calibri" w:hAnsi="Arial" w:cs="Arial"/>
          <w:b/>
          <w:i/>
        </w:rPr>
        <w:t xml:space="preserve">« Sensibilisation, mobilisation et conscientisation des communautés de </w:t>
      </w:r>
      <w:proofErr w:type="spellStart"/>
      <w:r w:rsidRPr="00316904">
        <w:rPr>
          <w:rFonts w:ascii="Arial" w:eastAsia="Calibri" w:hAnsi="Arial" w:cs="Arial"/>
          <w:b/>
          <w:i/>
        </w:rPr>
        <w:t>Zamai</w:t>
      </w:r>
      <w:proofErr w:type="spellEnd"/>
      <w:r w:rsidRPr="00316904">
        <w:rPr>
          <w:rFonts w:ascii="Arial" w:eastAsia="Calibri" w:hAnsi="Arial" w:cs="Arial"/>
          <w:b/>
          <w:i/>
        </w:rPr>
        <w:t xml:space="preserve"> et </w:t>
      </w:r>
      <w:proofErr w:type="spellStart"/>
      <w:r w:rsidRPr="00316904">
        <w:rPr>
          <w:rFonts w:ascii="Arial" w:eastAsia="Calibri" w:hAnsi="Arial" w:cs="Arial"/>
          <w:b/>
          <w:i/>
        </w:rPr>
        <w:t>Moskota</w:t>
      </w:r>
      <w:proofErr w:type="spellEnd"/>
      <w:r w:rsidRPr="00316904">
        <w:rPr>
          <w:rFonts w:ascii="Arial" w:eastAsia="Calibri" w:hAnsi="Arial" w:cs="Arial"/>
          <w:b/>
          <w:i/>
        </w:rPr>
        <w:t xml:space="preserve"> sur la protection contre l'exploitation et les abus sexuels en contexte d’urgence humanitaire »</w:t>
      </w:r>
    </w:p>
    <w:p w:rsidR="0023346F" w:rsidRPr="00316904" w:rsidRDefault="0023346F" w:rsidP="0023346F">
      <w:pPr>
        <w:tabs>
          <w:tab w:val="left" w:pos="3420"/>
        </w:tabs>
        <w:spacing w:after="160" w:line="360" w:lineRule="auto"/>
        <w:jc w:val="both"/>
        <w:rPr>
          <w:rFonts w:ascii="Arial" w:eastAsia="Calibri" w:hAnsi="Arial" w:cs="Arial"/>
        </w:rPr>
      </w:pPr>
    </w:p>
    <w:p w:rsidR="0023346F" w:rsidRPr="00316904" w:rsidRDefault="0023346F" w:rsidP="0023346F">
      <w:pPr>
        <w:tabs>
          <w:tab w:val="left" w:pos="3420"/>
        </w:tabs>
        <w:spacing w:after="160" w:line="360" w:lineRule="auto"/>
        <w:jc w:val="center"/>
        <w:rPr>
          <w:rFonts w:ascii="Arial" w:eastAsia="Calibri" w:hAnsi="Arial" w:cs="Arial"/>
        </w:rPr>
      </w:pPr>
      <w:r>
        <w:rPr>
          <w:rFonts w:ascii="Baskerville Old Face" w:hAnsi="Baskerville Old Face" w:cs="Arial"/>
          <w:b/>
          <w:color w:val="0070C0"/>
          <w:sz w:val="40"/>
        </w:rPr>
        <w:t>FICHE PED</w:t>
      </w:r>
      <w:r>
        <w:rPr>
          <w:rFonts w:ascii="Baskerville Old Face" w:hAnsi="Baskerville Old Face" w:cs="Arial"/>
          <w:b/>
          <w:color w:val="0070C0"/>
          <w:sz w:val="40"/>
        </w:rPr>
        <w:t>AGOGIQUE DE L’ACTIVITE</w:t>
      </w:r>
    </w:p>
    <w:p w:rsidR="0023346F" w:rsidRPr="00316904" w:rsidRDefault="0023346F" w:rsidP="0023346F">
      <w:pPr>
        <w:spacing w:after="160" w:line="360" w:lineRule="auto"/>
        <w:jc w:val="both"/>
        <w:rPr>
          <w:rFonts w:ascii="Arial" w:eastAsia="Calibri" w:hAnsi="Arial" w:cs="Arial"/>
        </w:rPr>
      </w:pPr>
      <w:r w:rsidRPr="00316904">
        <w:rPr>
          <w:rFonts w:ascii="Arial" w:eastAsia="Calibri" w:hAnsi="Arial" w:cs="Arial"/>
          <w:noProof/>
          <w:lang w:eastAsia="fr-FR"/>
        </w:rPr>
        <mc:AlternateContent>
          <mc:Choice Requires="wps">
            <w:drawing>
              <wp:anchor distT="0" distB="0" distL="114300" distR="114300" simplePos="0" relativeHeight="251660288" behindDoc="0" locked="0" layoutInCell="1" allowOverlap="1" wp14:anchorId="0689E43F" wp14:editId="7305EF85">
                <wp:simplePos x="0" y="0"/>
                <wp:positionH relativeFrom="margin">
                  <wp:posOffset>23751</wp:posOffset>
                </wp:positionH>
                <wp:positionV relativeFrom="paragraph">
                  <wp:posOffset>287993</wp:posOffset>
                </wp:positionV>
                <wp:extent cx="6129036" cy="1460665"/>
                <wp:effectExtent l="19050" t="19050" r="43180" b="4445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36" cy="1460665"/>
                        </a:xfrm>
                        <a:prstGeom prst="rect">
                          <a:avLst/>
                        </a:prstGeom>
                        <a:solidFill>
                          <a:sysClr val="window" lastClr="FFFFFF">
                            <a:lumMod val="100000"/>
                            <a:lumOff val="0"/>
                          </a:sysClr>
                        </a:solidFill>
                        <a:ln w="63500" cmpd="thickThin">
                          <a:solidFill>
                            <a:srgbClr val="0070C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3346F" w:rsidRPr="001C7084" w:rsidRDefault="0023346F" w:rsidP="0023346F">
                            <w:pPr>
                              <w:jc w:val="center"/>
                              <w:rPr>
                                <w:rFonts w:ascii="Book Antiqua" w:eastAsia="Times New Roman" w:hAnsi="Book Antiqua"/>
                                <w:b/>
                                <w:bCs/>
                                <w:color w:val="000000"/>
                                <w:sz w:val="28"/>
                                <w:szCs w:val="24"/>
                                <w:lang w:eastAsia="fr-FR"/>
                              </w:rPr>
                            </w:pPr>
                            <w:r>
                              <w:rPr>
                                <w:rFonts w:ascii="Baskerville Old Face" w:hAnsi="Baskerville Old Face" w:cs="Arial"/>
                                <w:b/>
                                <w:color w:val="0070C0"/>
                                <w:sz w:val="40"/>
                              </w:rPr>
                              <w:t xml:space="preserve">CAMPAGNES DE SENSIBILISATIO DE MASSE SUR L’EXPLOITATION ET LES ABUS SEXUELS SUR LES BENEFICIAIRES (PEAS)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89E43F" id="_x0000_t202" coordsize="21600,21600" o:spt="202" path="m,l,21600r21600,l21600,xe">
                <v:stroke joinstyle="miter"/>
                <v:path gradientshapeok="t" o:connecttype="rect"/>
              </v:shapetype>
              <v:shape id="Zone de texte 29" o:spid="_x0000_s1026" type="#_x0000_t202" style="position:absolute;left:0;text-align:left;margin-left:1.85pt;margin-top:22.7pt;width:482.6pt;height:1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" strokecolor="#0070c0" strokeweight="5pt">
                <v:stroke linestyle="thickThin"/>
                <v:shadow color="#868686"/>
                <v:textbox>
                  <w:txbxContent>
                    <w:p w:rsidR="0023346F" w:rsidRPr="001C7084" w:rsidRDefault="0023346F" w:rsidP="0023346F">
                      <w:pPr>
                        <w:jc w:val="center"/>
                        <w:rPr>
                          <w:rFonts w:ascii="Book Antiqua" w:eastAsia="Times New Roman" w:hAnsi="Book Antiqua"/>
                          <w:b/>
                          <w:bCs/>
                          <w:color w:val="000000"/>
                          <w:sz w:val="28"/>
                          <w:szCs w:val="24"/>
                          <w:lang w:eastAsia="fr-FR"/>
                        </w:rPr>
                      </w:pPr>
                      <w:r>
                        <w:rPr>
                          <w:rFonts w:ascii="Baskerville Old Face" w:hAnsi="Baskerville Old Face" w:cs="Arial"/>
                          <w:b/>
                          <w:color w:val="0070C0"/>
                          <w:sz w:val="40"/>
                        </w:rPr>
                        <w:t xml:space="preserve">CAMPAGNES DE SENSIBILISATIO DE MASSE SUR L’EXPLOITATION ET LES ABUS SEXUELS SUR LES BENEFICIAIRES (PEAS)  </w:t>
                      </w:r>
                    </w:p>
                  </w:txbxContent>
                </v:textbox>
                <w10:wrap anchorx="margin"/>
              </v:shape>
            </w:pict>
          </mc:Fallback>
        </mc:AlternateContent>
      </w:r>
    </w:p>
    <w:p w:rsidR="0023346F" w:rsidRPr="00316904" w:rsidRDefault="0023346F" w:rsidP="0023346F">
      <w:pPr>
        <w:spacing w:after="160" w:line="360" w:lineRule="auto"/>
        <w:jc w:val="both"/>
        <w:rPr>
          <w:rFonts w:ascii="Arial" w:eastAsia="Calibri" w:hAnsi="Arial" w:cs="Arial"/>
        </w:rPr>
      </w:pPr>
    </w:p>
    <w:p w:rsidR="0023346F" w:rsidRPr="00316904" w:rsidRDefault="0023346F" w:rsidP="0023346F">
      <w:pPr>
        <w:spacing w:after="160" w:line="360" w:lineRule="auto"/>
        <w:jc w:val="both"/>
        <w:rPr>
          <w:rFonts w:ascii="Arial" w:eastAsia="Calibri" w:hAnsi="Arial" w:cs="Arial"/>
        </w:rPr>
      </w:pPr>
    </w:p>
    <w:p w:rsidR="0023346F" w:rsidRPr="00316904" w:rsidRDefault="0023346F" w:rsidP="0023346F">
      <w:pPr>
        <w:spacing w:after="160" w:line="360" w:lineRule="auto"/>
        <w:jc w:val="both"/>
        <w:rPr>
          <w:rFonts w:ascii="Arial" w:eastAsia="Calibri" w:hAnsi="Arial" w:cs="Arial"/>
        </w:rPr>
      </w:pPr>
    </w:p>
    <w:p w:rsidR="0023346F" w:rsidRPr="00316904" w:rsidRDefault="0023346F" w:rsidP="0023346F">
      <w:pPr>
        <w:spacing w:after="160" w:line="360" w:lineRule="auto"/>
        <w:jc w:val="both"/>
        <w:rPr>
          <w:rFonts w:ascii="Arial" w:eastAsia="Calibri" w:hAnsi="Arial" w:cs="Arial"/>
        </w:rPr>
      </w:pPr>
    </w:p>
    <w:p w:rsidR="0023346F" w:rsidRPr="00316904" w:rsidRDefault="0023346F" w:rsidP="0023346F">
      <w:pPr>
        <w:spacing w:after="160" w:line="360" w:lineRule="auto"/>
        <w:jc w:val="both"/>
        <w:rPr>
          <w:rFonts w:ascii="Arial" w:eastAsia="Calibri" w:hAnsi="Arial" w:cs="Arial"/>
        </w:rPr>
      </w:pPr>
    </w:p>
    <w:p w:rsidR="0023346F" w:rsidRPr="00316904" w:rsidRDefault="0023346F" w:rsidP="0023346F">
      <w:pPr>
        <w:tabs>
          <w:tab w:val="left" w:pos="3570"/>
        </w:tabs>
        <w:spacing w:after="160" w:line="360" w:lineRule="auto"/>
        <w:jc w:val="both"/>
        <w:rPr>
          <w:rFonts w:ascii="Arial" w:eastAsia="Calibri" w:hAnsi="Arial" w:cs="Arial"/>
        </w:rPr>
      </w:pPr>
      <w:r w:rsidRPr="00316904">
        <w:rPr>
          <w:rFonts w:ascii="Arial" w:eastAsia="Calibri" w:hAnsi="Arial" w:cs="Arial"/>
        </w:rPr>
        <w:tab/>
      </w:r>
    </w:p>
    <w:p w:rsidR="0023346F" w:rsidRPr="00316904" w:rsidRDefault="0023346F" w:rsidP="0023346F">
      <w:pPr>
        <w:tabs>
          <w:tab w:val="left" w:pos="3570"/>
        </w:tabs>
        <w:spacing w:after="160" w:line="360" w:lineRule="auto"/>
        <w:jc w:val="both"/>
        <w:rPr>
          <w:rFonts w:ascii="Arial" w:eastAsia="Calibri" w:hAnsi="Arial" w:cs="Arial"/>
          <w:b/>
        </w:rPr>
      </w:pPr>
    </w:p>
    <w:p w:rsidR="0023346F" w:rsidRPr="00316904" w:rsidRDefault="0023346F" w:rsidP="0023346F">
      <w:pPr>
        <w:tabs>
          <w:tab w:val="left" w:pos="3570"/>
        </w:tabs>
        <w:spacing w:after="160" w:line="360" w:lineRule="auto"/>
        <w:jc w:val="both"/>
        <w:rPr>
          <w:rFonts w:ascii="Arial" w:eastAsia="Calibri" w:hAnsi="Arial" w:cs="Arial"/>
        </w:rPr>
      </w:pPr>
    </w:p>
    <w:p w:rsidR="0023346F" w:rsidRPr="00316904" w:rsidRDefault="0023346F" w:rsidP="0023346F">
      <w:pPr>
        <w:tabs>
          <w:tab w:val="left" w:pos="3570"/>
        </w:tabs>
        <w:spacing w:after="160" w:line="360" w:lineRule="auto"/>
        <w:jc w:val="both"/>
        <w:rPr>
          <w:rFonts w:ascii="Arial" w:eastAsia="Calibri" w:hAnsi="Arial" w:cs="Arial"/>
        </w:rPr>
      </w:pPr>
    </w:p>
    <w:p w:rsidR="0023346F" w:rsidRPr="00316904" w:rsidRDefault="0023346F" w:rsidP="0023346F">
      <w:pPr>
        <w:tabs>
          <w:tab w:val="left" w:pos="3570"/>
        </w:tabs>
        <w:spacing w:after="160" w:line="360" w:lineRule="auto"/>
        <w:jc w:val="both"/>
        <w:rPr>
          <w:rFonts w:ascii="Arial" w:eastAsia="Calibri" w:hAnsi="Arial" w:cs="Arial"/>
        </w:rPr>
      </w:pPr>
    </w:p>
    <w:p w:rsidR="0023346F" w:rsidRDefault="0023346F" w:rsidP="0023346F">
      <w:pPr>
        <w:tabs>
          <w:tab w:val="left" w:pos="3570"/>
        </w:tabs>
        <w:spacing w:after="160" w:line="360" w:lineRule="auto"/>
        <w:jc w:val="right"/>
        <w:rPr>
          <w:rFonts w:ascii="Arial" w:eastAsia="Calibri" w:hAnsi="Arial" w:cs="Arial"/>
          <w:b/>
          <w:u w:val="single"/>
        </w:rPr>
      </w:pPr>
      <w:r>
        <w:rPr>
          <w:rFonts w:ascii="Arial" w:eastAsia="Calibri" w:hAnsi="Arial" w:cs="Arial"/>
          <w:b/>
          <w:u w:val="single"/>
        </w:rPr>
        <w:t>Décembre</w:t>
      </w:r>
      <w:r w:rsidRPr="00316904">
        <w:rPr>
          <w:rFonts w:ascii="Arial" w:eastAsia="Calibri" w:hAnsi="Arial" w:cs="Arial"/>
          <w:b/>
          <w:u w:val="single"/>
        </w:rPr>
        <w:t xml:space="preserve"> 2021</w:t>
      </w:r>
    </w:p>
    <w:p w:rsidR="0023346F" w:rsidRDefault="0023346F" w:rsidP="0023346F">
      <w:pPr>
        <w:tabs>
          <w:tab w:val="left" w:pos="3570"/>
        </w:tabs>
        <w:spacing w:after="160" w:line="360" w:lineRule="auto"/>
        <w:jc w:val="right"/>
        <w:rPr>
          <w:rFonts w:ascii="Arial" w:eastAsia="Calibri" w:hAnsi="Arial" w:cs="Arial"/>
          <w:b/>
          <w:u w:val="single"/>
        </w:rPr>
      </w:pPr>
    </w:p>
    <w:p w:rsidR="0023346F" w:rsidRDefault="0023346F" w:rsidP="0023346F">
      <w:pPr>
        <w:tabs>
          <w:tab w:val="left" w:pos="3570"/>
        </w:tabs>
        <w:spacing w:after="160" w:line="360" w:lineRule="auto"/>
        <w:jc w:val="right"/>
        <w:rPr>
          <w:rFonts w:ascii="Arial" w:eastAsia="Calibri" w:hAnsi="Arial" w:cs="Arial"/>
          <w:b/>
          <w:u w:val="single"/>
        </w:rPr>
      </w:pPr>
    </w:p>
    <w:p w:rsidR="0023346F" w:rsidRDefault="0023346F" w:rsidP="0023346F">
      <w:pPr>
        <w:tabs>
          <w:tab w:val="left" w:pos="3570"/>
        </w:tabs>
        <w:spacing w:after="160" w:line="360" w:lineRule="auto"/>
        <w:jc w:val="right"/>
        <w:rPr>
          <w:rFonts w:ascii="Arial" w:eastAsia="Calibri" w:hAnsi="Arial" w:cs="Arial"/>
          <w:b/>
          <w:u w:val="single"/>
        </w:rPr>
      </w:pPr>
    </w:p>
    <w:p w:rsidR="0023346F" w:rsidRDefault="0023346F" w:rsidP="0023346F">
      <w:pPr>
        <w:tabs>
          <w:tab w:val="left" w:pos="3570"/>
        </w:tabs>
        <w:spacing w:after="160" w:line="360" w:lineRule="auto"/>
        <w:jc w:val="right"/>
        <w:rPr>
          <w:rFonts w:ascii="Arial" w:eastAsia="Calibri" w:hAnsi="Arial" w:cs="Arial"/>
          <w:b/>
          <w:u w:val="single"/>
        </w:rPr>
      </w:pPr>
      <w:bookmarkStart w:id="0" w:name="_GoBack"/>
      <w:bookmarkEnd w:id="0"/>
    </w:p>
    <w:p w:rsidR="00994D0B" w:rsidRPr="0023346F" w:rsidRDefault="00994D0B" w:rsidP="000A2703">
      <w:p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lastRenderedPageBreak/>
        <w:t>PREPARATION DES CAMPAGNES DE SENSIBILISATION</w:t>
      </w:r>
    </w:p>
    <w:p w:rsidR="00994D0B" w:rsidRPr="0023346F" w:rsidRDefault="00994D0B" w:rsidP="000A2703">
      <w:pPr>
        <w:pStyle w:val="Paragraphedeliste"/>
        <w:numPr>
          <w:ilvl w:val="0"/>
          <w:numId w:val="1"/>
        </w:num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Les cliniques d’écoute active des personnes</w:t>
      </w:r>
    </w:p>
    <w:p w:rsidR="00994D0B" w:rsidRPr="0023346F" w:rsidRDefault="00994D0B" w:rsidP="000A2703">
      <w:p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 xml:space="preserve">Un lieu discret sera aménagé permettant des rencontres d’écoute et d’échange entre les bénéficiaires et la travailleuse psychosociale. Ce cadre permettra aux différentes personnes victimes ou témoins ou simplement affectées par une situation d’exposer leurs problèmes notamment ceux en lien avec les actes de EAS dont ils ou elles auraient été victimes. </w:t>
      </w:r>
    </w:p>
    <w:p w:rsidR="00994D0B" w:rsidRPr="0023346F" w:rsidRDefault="00994D0B" w:rsidP="000A2703">
      <w:pPr>
        <w:pStyle w:val="Paragraphedeliste"/>
        <w:numPr>
          <w:ilvl w:val="0"/>
          <w:numId w:val="1"/>
        </w:num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Les matchs des incollables</w:t>
      </w:r>
    </w:p>
    <w:p w:rsidR="00994D0B" w:rsidRPr="0023346F" w:rsidRDefault="00994D0B" w:rsidP="000A2703">
      <w:p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 xml:space="preserve">Tout au long de la séance, des questions seront posées à l’assistance. Tout le monde pourra y répondre. </w:t>
      </w:r>
    </w:p>
    <w:p w:rsidR="00994D0B" w:rsidRPr="0023346F" w:rsidRDefault="00994D0B" w:rsidP="000A2703">
      <w:p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 xml:space="preserve">Il faut préparer 10 questions simples relatives à la PEAS </w:t>
      </w:r>
    </w:p>
    <w:p w:rsidR="00994D0B" w:rsidRPr="0023346F" w:rsidRDefault="00994D0B" w:rsidP="000A2703">
      <w:pPr>
        <w:pStyle w:val="Paragraphedeliste"/>
        <w:numPr>
          <w:ilvl w:val="0"/>
          <w:numId w:val="1"/>
        </w:num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Les sketches sur les aspects liés à la PEAS</w:t>
      </w:r>
    </w:p>
    <w:p w:rsidR="00994D0B" w:rsidRPr="0023346F" w:rsidRDefault="00994D0B" w:rsidP="000A2703">
      <w:p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On aura 3 passages de scènes théâtrales sur les aspects liés à la PEAS. Ces scènes doivent être montées à l’avance et bien préparée par les acteurs.</w:t>
      </w:r>
    </w:p>
    <w:p w:rsidR="00994D0B" w:rsidRPr="0023346F" w:rsidRDefault="00994D0B" w:rsidP="000A2703">
      <w:p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Préparer 2 à 3 groupes de sketches. De préférence, 2 scènes tournées par les jeunes et 1 par le CCPEAS (durée maximale de 5 min chacun)</w:t>
      </w:r>
    </w:p>
    <w:p w:rsidR="00994D0B" w:rsidRPr="0023346F" w:rsidRDefault="00994D0B" w:rsidP="000A2703">
      <w:pPr>
        <w:pStyle w:val="Paragraphedeliste"/>
        <w:numPr>
          <w:ilvl w:val="0"/>
          <w:numId w:val="1"/>
        </w:num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Les danses traditionnelles</w:t>
      </w:r>
    </w:p>
    <w:p w:rsidR="00994D0B" w:rsidRPr="0023346F" w:rsidRDefault="00994D0B" w:rsidP="000A2703">
      <w:p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Deux (2) groupes de danses traditionnelles seront mobilisées. Il sera fort intéressant que les 2 groupes soient de cultures distinctes.</w:t>
      </w:r>
    </w:p>
    <w:p w:rsidR="00994D0B" w:rsidRPr="0023346F" w:rsidRDefault="00994D0B" w:rsidP="000A2703">
      <w:p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Contacter 1-2 groupes de danses traditionnelles locales, et définir les modalités de participation (durée maximale de 5 min chacun)</w:t>
      </w:r>
    </w:p>
    <w:p w:rsidR="00994D0B" w:rsidRPr="0023346F" w:rsidRDefault="00994D0B" w:rsidP="000A2703">
      <w:pPr>
        <w:pStyle w:val="Paragraphedeliste"/>
        <w:numPr>
          <w:ilvl w:val="0"/>
          <w:numId w:val="1"/>
        </w:num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Jeux concours</w:t>
      </w:r>
    </w:p>
    <w:p w:rsidR="00994D0B" w:rsidRPr="0023346F" w:rsidRDefault="00994D0B" w:rsidP="000A2703">
      <w:p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Quatre (4) groupes seront requalifiés d’avance pour competir au jeu concours. Il s’agira 2 groupes associatifs des femmes, 1 groupe de jeunes garçons et 1 groupe de jeunes filles. Chaque groupe competira avec 3 représentants sur scène. Le concours se déroulera sur 2 temps : une phase de qualification sur tirage au sort et une phase de finale des deux meilleurs groupes.</w:t>
      </w:r>
    </w:p>
    <w:p w:rsidR="00994D0B" w:rsidRPr="0023346F" w:rsidRDefault="00994D0B" w:rsidP="000A2703">
      <w:p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 xml:space="preserve">Identifier au préalable les 4 groupes et les aviser de leur participation aux jeux concours pendant la campagne. </w:t>
      </w:r>
    </w:p>
    <w:p w:rsidR="00994D0B" w:rsidRPr="0023346F" w:rsidRDefault="00994D0B" w:rsidP="000A2703">
      <w:pPr>
        <w:pStyle w:val="Paragraphedeliste"/>
        <w:numPr>
          <w:ilvl w:val="0"/>
          <w:numId w:val="1"/>
        </w:num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Caravanes mobiles de sensibilisation</w:t>
      </w:r>
    </w:p>
    <w:p w:rsidR="00994D0B" w:rsidRPr="0023346F" w:rsidRDefault="00994D0B" w:rsidP="000A2703">
      <w:p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 xml:space="preserve">A la veille de la journée de la sensibilisation, une caravane mobile de sensibilisation arpentera toutes les artères de la localité pour sensibiliser davantage, accentuer l’information des populations sur les questions liées à la PEAS. </w:t>
      </w:r>
    </w:p>
    <w:p w:rsidR="00994D0B" w:rsidRPr="0023346F" w:rsidRDefault="00994D0B" w:rsidP="000A2703">
      <w:p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 xml:space="preserve">A La veille de la campagne, le CCPEAS mènera cette grande campagne de sensibilisation mobile, définir les itinéraires où on peut rencontrer le maximum de personne. Il s’agira de passer les messages de PEAS, afficher les affiches de sensibilisation à des points de convergence (écoles, grand carrefour, magasin, boutique, </w:t>
      </w:r>
      <w:proofErr w:type="spellStart"/>
      <w:r w:rsidRPr="0023346F">
        <w:rPr>
          <w:rFonts w:ascii="Arial" w:eastAsia="Calibri" w:hAnsi="Arial" w:cs="Arial"/>
          <w:color w:val="1F4E79" w:themeColor="accent1" w:themeShade="80"/>
        </w:rPr>
        <w:t>hopital</w:t>
      </w:r>
      <w:proofErr w:type="spellEnd"/>
      <w:r w:rsidRPr="0023346F">
        <w:rPr>
          <w:rFonts w:ascii="Arial" w:eastAsia="Calibri" w:hAnsi="Arial" w:cs="Arial"/>
          <w:color w:val="1F4E79" w:themeColor="accent1" w:themeShade="80"/>
        </w:rPr>
        <w:t>, etc.)</w:t>
      </w:r>
      <w:r w:rsidR="004A4901" w:rsidRPr="0023346F">
        <w:rPr>
          <w:rFonts w:ascii="Arial" w:eastAsia="Calibri" w:hAnsi="Arial" w:cs="Arial"/>
          <w:color w:val="1F4E79" w:themeColor="accent1" w:themeShade="80"/>
        </w:rPr>
        <w:t>, inviter massivement les populations à la campagne le lendemain.</w:t>
      </w:r>
    </w:p>
    <w:p w:rsidR="00994D0B" w:rsidRPr="0023346F" w:rsidRDefault="00994D0B" w:rsidP="000A2703">
      <w:pPr>
        <w:pStyle w:val="Paragraphedeliste"/>
        <w:numPr>
          <w:ilvl w:val="0"/>
          <w:numId w:val="1"/>
        </w:num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Couverture médiatique</w:t>
      </w:r>
    </w:p>
    <w:p w:rsidR="00994D0B" w:rsidRPr="0023346F" w:rsidRDefault="00994D0B" w:rsidP="000A2703">
      <w:p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lastRenderedPageBreak/>
        <w:t>La radio communautaire assurera la couverture médiatique de l’activité avant, pendant et après.</w:t>
      </w:r>
    </w:p>
    <w:p w:rsidR="007A71C3" w:rsidRPr="0023346F" w:rsidRDefault="007A71C3" w:rsidP="000A2703">
      <w:p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Transmettre les TDR à la radio</w:t>
      </w:r>
    </w:p>
    <w:p w:rsidR="00994D0B" w:rsidRPr="0023346F" w:rsidRDefault="00994D0B" w:rsidP="000A2703">
      <w:pPr>
        <w:tabs>
          <w:tab w:val="left" w:pos="3570"/>
        </w:tabs>
        <w:spacing w:after="160"/>
        <w:jc w:val="both"/>
        <w:rPr>
          <w:rFonts w:ascii="Arial" w:eastAsia="Times New Roman" w:hAnsi="Arial" w:cs="Arial"/>
          <w:b/>
          <w:bCs/>
          <w:noProof/>
          <w:color w:val="1F4E79" w:themeColor="accent1" w:themeShade="80"/>
        </w:rPr>
      </w:pPr>
      <w:r w:rsidRPr="0023346F">
        <w:rPr>
          <w:rFonts w:ascii="Arial" w:eastAsia="Times New Roman" w:hAnsi="Arial" w:cs="Arial"/>
          <w:b/>
          <w:bCs/>
          <w:noProof/>
          <w:color w:val="1F4E79" w:themeColor="accent1" w:themeShade="80"/>
        </w:rPr>
        <w:t>LIEUX DES RENCONTRES</w:t>
      </w:r>
    </w:p>
    <w:p w:rsidR="00994D0B" w:rsidRPr="0023346F" w:rsidRDefault="00994D0B" w:rsidP="000A2703">
      <w:p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 xml:space="preserve">Les rencontres se tiendront dans les communautés de </w:t>
      </w:r>
      <w:proofErr w:type="spellStart"/>
      <w:r w:rsidRPr="0023346F">
        <w:rPr>
          <w:rFonts w:ascii="Arial" w:eastAsia="Calibri" w:hAnsi="Arial" w:cs="Arial"/>
          <w:color w:val="1F4E79" w:themeColor="accent1" w:themeShade="80"/>
        </w:rPr>
        <w:t>Zamai</w:t>
      </w:r>
      <w:proofErr w:type="spellEnd"/>
      <w:r w:rsidRPr="0023346F">
        <w:rPr>
          <w:rFonts w:ascii="Arial" w:eastAsia="Calibri" w:hAnsi="Arial" w:cs="Arial"/>
          <w:color w:val="1F4E79" w:themeColor="accent1" w:themeShade="80"/>
        </w:rPr>
        <w:t xml:space="preserve"> à </w:t>
      </w:r>
      <w:proofErr w:type="spellStart"/>
      <w:r w:rsidRPr="0023346F">
        <w:rPr>
          <w:rFonts w:ascii="Arial" w:eastAsia="Calibri" w:hAnsi="Arial" w:cs="Arial"/>
          <w:color w:val="1F4E79" w:themeColor="accent1" w:themeShade="80"/>
        </w:rPr>
        <w:t>Mozogo</w:t>
      </w:r>
      <w:proofErr w:type="spellEnd"/>
      <w:r w:rsidRPr="0023346F">
        <w:rPr>
          <w:rFonts w:ascii="Arial" w:eastAsia="Calibri" w:hAnsi="Arial" w:cs="Arial"/>
          <w:color w:val="1F4E79" w:themeColor="accent1" w:themeShade="80"/>
        </w:rPr>
        <w:t xml:space="preserve"> </w:t>
      </w:r>
    </w:p>
    <w:p w:rsidR="00283434" w:rsidRPr="0023346F" w:rsidRDefault="007A71C3" w:rsidP="000A2703">
      <w:p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Définir le lieu exact de la rencontre</w:t>
      </w:r>
      <w:r w:rsidR="0023346F">
        <w:rPr>
          <w:rFonts w:ascii="Arial" w:eastAsia="Calibri" w:hAnsi="Arial" w:cs="Arial"/>
          <w:color w:val="1F4E79" w:themeColor="accent1" w:themeShade="80"/>
        </w:rPr>
        <w:t xml:space="preserve"> de concert avec les CCPEAS des différentes </w:t>
      </w:r>
      <w:proofErr w:type="spellStart"/>
      <w:r w:rsidR="0023346F">
        <w:rPr>
          <w:rFonts w:ascii="Arial" w:eastAsia="Calibri" w:hAnsi="Arial" w:cs="Arial"/>
          <w:color w:val="1F4E79" w:themeColor="accent1" w:themeShade="80"/>
        </w:rPr>
        <w:t>communautésx</w:t>
      </w:r>
      <w:proofErr w:type="spellEnd"/>
      <w:r w:rsidR="0023346F">
        <w:rPr>
          <w:rFonts w:ascii="Arial" w:eastAsia="Calibri" w:hAnsi="Arial" w:cs="Arial"/>
          <w:color w:val="1F4E79" w:themeColor="accent1" w:themeShade="80"/>
        </w:rPr>
        <w:t>.</w:t>
      </w:r>
    </w:p>
    <w:p w:rsidR="007A71C3" w:rsidRPr="0023346F" w:rsidRDefault="003F7C7A" w:rsidP="000A2703">
      <w:pPr>
        <w:tabs>
          <w:tab w:val="left" w:pos="3570"/>
        </w:tabs>
        <w:spacing w:after="160"/>
        <w:jc w:val="both"/>
        <w:rPr>
          <w:rFonts w:ascii="Arial" w:eastAsia="Calibri" w:hAnsi="Arial" w:cs="Arial"/>
          <w:b/>
          <w:color w:val="1F4E79" w:themeColor="accent1" w:themeShade="80"/>
        </w:rPr>
      </w:pPr>
      <w:r w:rsidRPr="0023346F">
        <w:rPr>
          <w:rFonts w:ascii="Arial" w:eastAsia="Calibri" w:hAnsi="Arial" w:cs="Arial"/>
          <w:b/>
          <w:color w:val="1F4E79" w:themeColor="accent1" w:themeShade="80"/>
        </w:rPr>
        <w:t>INFORMATIONS :</w:t>
      </w:r>
    </w:p>
    <w:p w:rsidR="004A4901" w:rsidRPr="0023346F" w:rsidRDefault="004A4901" w:rsidP="000A2703">
      <w:p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 xml:space="preserve">Information massive des populations, dans les mosquées, les églises, écoles, écoles coraniques. </w:t>
      </w:r>
    </w:p>
    <w:p w:rsidR="004A4901" w:rsidRPr="0023346F" w:rsidRDefault="004A4901" w:rsidP="000A2703">
      <w:p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Information et invitation des autorités traditionnelles et religieuses</w:t>
      </w:r>
    </w:p>
    <w:p w:rsidR="004A4901" w:rsidRPr="0023346F" w:rsidRDefault="004A4901" w:rsidP="000A2703">
      <w:p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 xml:space="preserve">Informer les organisations à base communautaire (Associations, </w:t>
      </w:r>
      <w:proofErr w:type="spellStart"/>
      <w:r w:rsidRPr="0023346F">
        <w:rPr>
          <w:rFonts w:ascii="Arial" w:eastAsia="Calibri" w:hAnsi="Arial" w:cs="Arial"/>
          <w:color w:val="1F4E79" w:themeColor="accent1" w:themeShade="80"/>
        </w:rPr>
        <w:t>Gic</w:t>
      </w:r>
      <w:proofErr w:type="spellEnd"/>
      <w:r w:rsidRPr="0023346F">
        <w:rPr>
          <w:rFonts w:ascii="Arial" w:eastAsia="Calibri" w:hAnsi="Arial" w:cs="Arial"/>
          <w:color w:val="1F4E79" w:themeColor="accent1" w:themeShade="80"/>
        </w:rPr>
        <w:t>, etc.)</w:t>
      </w:r>
    </w:p>
    <w:p w:rsidR="004A4901" w:rsidRPr="0023346F" w:rsidRDefault="0023346F" w:rsidP="000A2703">
      <w:p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 xml:space="preserve">Rencontrer </w:t>
      </w:r>
      <w:r w:rsidR="004A4901" w:rsidRPr="0023346F">
        <w:rPr>
          <w:rFonts w:ascii="Arial" w:eastAsia="Calibri" w:hAnsi="Arial" w:cs="Arial"/>
          <w:color w:val="1F4E79" w:themeColor="accent1" w:themeShade="80"/>
        </w:rPr>
        <w:t xml:space="preserve">les sous-préfets de </w:t>
      </w:r>
      <w:proofErr w:type="spellStart"/>
      <w:r w:rsidR="004A4901" w:rsidRPr="0023346F">
        <w:rPr>
          <w:rFonts w:ascii="Arial" w:eastAsia="Calibri" w:hAnsi="Arial" w:cs="Arial"/>
          <w:color w:val="1F4E79" w:themeColor="accent1" w:themeShade="80"/>
        </w:rPr>
        <w:t>Mozogo</w:t>
      </w:r>
      <w:proofErr w:type="spellEnd"/>
      <w:r w:rsidR="004A4901" w:rsidRPr="0023346F">
        <w:rPr>
          <w:rFonts w:ascii="Arial" w:eastAsia="Calibri" w:hAnsi="Arial" w:cs="Arial"/>
          <w:color w:val="1F4E79" w:themeColor="accent1" w:themeShade="80"/>
        </w:rPr>
        <w:t xml:space="preserve"> et </w:t>
      </w:r>
      <w:proofErr w:type="spellStart"/>
      <w:r w:rsidR="004A4901" w:rsidRPr="0023346F">
        <w:rPr>
          <w:rFonts w:ascii="Arial" w:eastAsia="Calibri" w:hAnsi="Arial" w:cs="Arial"/>
          <w:color w:val="1F4E79" w:themeColor="accent1" w:themeShade="80"/>
        </w:rPr>
        <w:t>Mokolo</w:t>
      </w:r>
      <w:proofErr w:type="spellEnd"/>
      <w:r w:rsidR="004A4901" w:rsidRPr="0023346F">
        <w:rPr>
          <w:rFonts w:ascii="Arial" w:eastAsia="Calibri" w:hAnsi="Arial" w:cs="Arial"/>
          <w:color w:val="1F4E79" w:themeColor="accent1" w:themeShade="80"/>
        </w:rPr>
        <w:t>, ainsi que les commandants de brigade</w:t>
      </w:r>
      <w:r w:rsidR="003F7C7A" w:rsidRPr="0023346F">
        <w:rPr>
          <w:rFonts w:ascii="Arial" w:eastAsia="Calibri" w:hAnsi="Arial" w:cs="Arial"/>
          <w:color w:val="1F4E79" w:themeColor="accent1" w:themeShade="80"/>
        </w:rPr>
        <w:t xml:space="preserve"> (</w:t>
      </w:r>
      <w:proofErr w:type="spellStart"/>
      <w:r w:rsidR="003F7C7A" w:rsidRPr="0023346F">
        <w:rPr>
          <w:rFonts w:ascii="Arial" w:eastAsia="Calibri" w:hAnsi="Arial" w:cs="Arial"/>
          <w:color w:val="1F4E79" w:themeColor="accent1" w:themeShade="80"/>
        </w:rPr>
        <w:t>mozogo</w:t>
      </w:r>
      <w:proofErr w:type="spellEnd"/>
      <w:r w:rsidR="003F7C7A" w:rsidRPr="0023346F">
        <w:rPr>
          <w:rFonts w:ascii="Arial" w:eastAsia="Calibri" w:hAnsi="Arial" w:cs="Arial"/>
          <w:color w:val="1F4E79" w:themeColor="accent1" w:themeShade="80"/>
        </w:rPr>
        <w:t xml:space="preserve"> et </w:t>
      </w:r>
      <w:proofErr w:type="spellStart"/>
      <w:r w:rsidR="003F7C7A" w:rsidRPr="0023346F">
        <w:rPr>
          <w:rFonts w:ascii="Arial" w:eastAsia="Calibri" w:hAnsi="Arial" w:cs="Arial"/>
          <w:color w:val="1F4E79" w:themeColor="accent1" w:themeShade="80"/>
        </w:rPr>
        <w:t>zamai</w:t>
      </w:r>
      <w:proofErr w:type="spellEnd"/>
      <w:r w:rsidR="003F7C7A" w:rsidRPr="0023346F">
        <w:rPr>
          <w:rFonts w:ascii="Arial" w:eastAsia="Calibri" w:hAnsi="Arial" w:cs="Arial"/>
          <w:color w:val="1F4E79" w:themeColor="accent1" w:themeShade="80"/>
        </w:rPr>
        <w:t>)</w:t>
      </w:r>
      <w:r w:rsidR="004A4901" w:rsidRPr="0023346F">
        <w:rPr>
          <w:rFonts w:ascii="Arial" w:eastAsia="Calibri" w:hAnsi="Arial" w:cs="Arial"/>
          <w:color w:val="1F4E79" w:themeColor="accent1" w:themeShade="80"/>
        </w:rPr>
        <w:t xml:space="preserve"> pour les informer de face avec les correspondances au cas où ce n’est pas encore parties. </w:t>
      </w:r>
    </w:p>
    <w:p w:rsidR="004A4901" w:rsidRPr="0023346F" w:rsidRDefault="004A4901" w:rsidP="000A2703">
      <w:pPr>
        <w:tabs>
          <w:tab w:val="left" w:pos="3570"/>
        </w:tabs>
        <w:spacing w:after="160"/>
        <w:jc w:val="both"/>
        <w:rPr>
          <w:rFonts w:ascii="Arial" w:eastAsia="Calibri" w:hAnsi="Arial" w:cs="Arial"/>
          <w:b/>
          <w:color w:val="1F4E79" w:themeColor="accent1" w:themeShade="80"/>
        </w:rPr>
      </w:pPr>
      <w:r w:rsidRPr="0023346F">
        <w:rPr>
          <w:rFonts w:ascii="Arial" w:eastAsia="Calibri" w:hAnsi="Arial" w:cs="Arial"/>
          <w:b/>
          <w:color w:val="1F4E79" w:themeColor="accent1" w:themeShade="80"/>
        </w:rPr>
        <w:t>LOGISTIQUE</w:t>
      </w:r>
    </w:p>
    <w:p w:rsidR="004A4901" w:rsidRPr="0023346F" w:rsidRDefault="004A4901" w:rsidP="000A2703">
      <w:p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Voir l’existence de cette logistique au niveau local, les modalités de location</w:t>
      </w:r>
    </w:p>
    <w:p w:rsidR="004A4901" w:rsidRPr="0023346F" w:rsidRDefault="004A4901" w:rsidP="000A2703">
      <w:pPr>
        <w:pStyle w:val="Paragraphedeliste"/>
        <w:numPr>
          <w:ilvl w:val="0"/>
          <w:numId w:val="1"/>
        </w:numPr>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Appareils de sonorisation</w:t>
      </w:r>
    </w:p>
    <w:p w:rsidR="004A4901" w:rsidRPr="0023346F" w:rsidRDefault="004A4901" w:rsidP="000A2703">
      <w:pPr>
        <w:pStyle w:val="Paragraphedeliste"/>
        <w:numPr>
          <w:ilvl w:val="0"/>
          <w:numId w:val="1"/>
        </w:numPr>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Hauts parleurs ambulants</w:t>
      </w:r>
    </w:p>
    <w:p w:rsidR="004A4901" w:rsidRPr="0023346F" w:rsidRDefault="004A4901" w:rsidP="000A2703">
      <w:pPr>
        <w:pStyle w:val="Paragraphedeliste"/>
        <w:numPr>
          <w:ilvl w:val="0"/>
          <w:numId w:val="1"/>
        </w:numPr>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Moteurs électrogènes</w:t>
      </w:r>
    </w:p>
    <w:p w:rsidR="004A4901" w:rsidRPr="0023346F" w:rsidRDefault="004A4901" w:rsidP="000A2703">
      <w:pPr>
        <w:pStyle w:val="Paragraphedeliste"/>
        <w:numPr>
          <w:ilvl w:val="0"/>
          <w:numId w:val="1"/>
        </w:numPr>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Chaises assises</w:t>
      </w:r>
      <w:r w:rsidR="00173589" w:rsidRPr="0023346F">
        <w:rPr>
          <w:rFonts w:ascii="Arial" w:eastAsia="Calibri" w:hAnsi="Arial" w:cs="Arial"/>
          <w:color w:val="1F4E79" w:themeColor="accent1" w:themeShade="80"/>
        </w:rPr>
        <w:t xml:space="preserve"> 50</w:t>
      </w:r>
    </w:p>
    <w:p w:rsidR="004A4901" w:rsidRPr="0023346F" w:rsidRDefault="004A4901" w:rsidP="000A2703">
      <w:pPr>
        <w:pStyle w:val="Paragraphedeliste"/>
        <w:numPr>
          <w:ilvl w:val="0"/>
          <w:numId w:val="1"/>
        </w:numPr>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Tables</w:t>
      </w:r>
      <w:r w:rsidR="00173589" w:rsidRPr="0023346F">
        <w:rPr>
          <w:rFonts w:ascii="Arial" w:eastAsia="Calibri" w:hAnsi="Arial" w:cs="Arial"/>
          <w:color w:val="1F4E79" w:themeColor="accent1" w:themeShade="80"/>
        </w:rPr>
        <w:t xml:space="preserve"> 5</w:t>
      </w:r>
    </w:p>
    <w:p w:rsidR="007A71C3" w:rsidRPr="0023346F" w:rsidRDefault="000A2703" w:rsidP="000A2703">
      <w:pPr>
        <w:tabs>
          <w:tab w:val="left" w:pos="3570"/>
        </w:tabs>
        <w:spacing w:after="160"/>
        <w:jc w:val="both"/>
        <w:rPr>
          <w:rFonts w:ascii="Arial" w:eastAsia="Calibri" w:hAnsi="Arial" w:cs="Arial"/>
          <w:color w:val="1F4E79" w:themeColor="accent1" w:themeShade="80"/>
        </w:rPr>
      </w:pPr>
      <w:r w:rsidRPr="0023346F">
        <w:rPr>
          <w:rFonts w:ascii="Arial" w:eastAsia="Calibri" w:hAnsi="Arial" w:cs="Arial"/>
          <w:color w:val="1F4E79" w:themeColor="accent1" w:themeShade="80"/>
        </w:rPr>
        <w:t xml:space="preserve">L’évènement doit durer deux heures au maximum. Les animateurs se chargeront de l’animation de la campagne sur leur site respectif. </w:t>
      </w:r>
    </w:p>
    <w:sectPr w:rsidR="007A71C3" w:rsidRPr="002334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AB6630"/>
    <w:multiLevelType w:val="hybridMultilevel"/>
    <w:tmpl w:val="3146B3B8"/>
    <w:lvl w:ilvl="0" w:tplc="C17C6D30">
      <w:numFmt w:val="bullet"/>
      <w:lvlText w:val="-"/>
      <w:lvlJc w:val="left"/>
      <w:pPr>
        <w:ind w:left="720" w:hanging="360"/>
      </w:pPr>
      <w:rPr>
        <w:rFonts w:ascii="Baskerville Old Face" w:eastAsiaTheme="minorHAnsi" w:hAnsi="Baskerville Old Fac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D0B"/>
    <w:rsid w:val="000A2703"/>
    <w:rsid w:val="00173589"/>
    <w:rsid w:val="0023346F"/>
    <w:rsid w:val="00283434"/>
    <w:rsid w:val="003F7C7A"/>
    <w:rsid w:val="004A4901"/>
    <w:rsid w:val="007A71C3"/>
    <w:rsid w:val="00994D0B"/>
    <w:rsid w:val="00BB36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FFEF8"/>
  <w15:chartTrackingRefBased/>
  <w15:docId w15:val="{6510234F-46BA-4A50-8EF5-01166B09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D0B"/>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4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584</Words>
  <Characters>3214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2021-12-02T05:50:00Z</dcterms:created>
  <dcterms:modified xsi:type="dcterms:W3CDTF">2022-01-28T15:58:00Z</dcterms:modified>
</cp:coreProperties>
</file>